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w:t>
      </w:r>
      <w:r>
        <w:rPr>
          <w:rFonts w:hint="eastAsia" w:ascii="仿宋" w:hAnsi="仿宋" w:eastAsia="仿宋"/>
          <w:b/>
          <w:bCs/>
          <w:sz w:val="28"/>
          <w:szCs w:val="28"/>
          <w:lang w:eastAsia="zh-CN"/>
        </w:rPr>
        <w:t>可再利用</w:t>
      </w:r>
      <w:r>
        <w:rPr>
          <w:rFonts w:hint="eastAsia" w:ascii="仿宋" w:hAnsi="仿宋" w:eastAsia="仿宋"/>
          <w:b/>
          <w:bCs/>
          <w:sz w:val="28"/>
          <w:szCs w:val="28"/>
        </w:rPr>
        <w:t>旧物资：</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可再利用工艺包装材料（约135吨）</w:t>
      </w:r>
    </w:p>
    <w:p>
      <w:pPr>
        <w:pStyle w:val="10"/>
        <w:spacing w:line="360" w:lineRule="auto"/>
        <w:ind w:left="840" w:firstLine="0" w:firstLineChars="0"/>
        <w:rPr>
          <w:rFonts w:ascii="仿宋" w:hAnsi="仿宋" w:eastAsia="仿宋"/>
          <w:sz w:val="28"/>
          <w:szCs w:val="28"/>
        </w:rPr>
      </w:pPr>
      <w:r>
        <w:rPr>
          <w:rFonts w:hint="eastAsia" w:ascii="仿宋" w:hAnsi="仿宋" w:eastAsia="仿宋"/>
          <w:sz w:val="28"/>
          <w:szCs w:val="28"/>
          <w:lang w:eastAsia="zh-CN"/>
        </w:rPr>
        <w:t>可再利用</w:t>
      </w:r>
      <w:r>
        <w:rPr>
          <w:rFonts w:hint="eastAsia" w:ascii="仿宋" w:hAnsi="仿宋" w:eastAsia="仿宋"/>
          <w:sz w:val="28"/>
          <w:szCs w:val="28"/>
        </w:rPr>
        <w:t>木材（约</w:t>
      </w:r>
      <w:r>
        <w:rPr>
          <w:rFonts w:hint="eastAsia" w:ascii="仿宋" w:hAnsi="仿宋" w:eastAsia="仿宋"/>
          <w:sz w:val="28"/>
          <w:szCs w:val="28"/>
          <w:lang w:val="en-US" w:eastAsia="zh-CN"/>
        </w:rPr>
        <w:t>200</w:t>
      </w:r>
      <w:r>
        <w:rPr>
          <w:rFonts w:hint="eastAsia" w:ascii="仿宋" w:hAnsi="仿宋" w:eastAsia="仿宋"/>
          <w:sz w:val="28"/>
          <w:szCs w:val="28"/>
        </w:rPr>
        <w:t>吨）</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合同有效期：202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月3</w:t>
      </w:r>
      <w:r>
        <w:rPr>
          <w:rFonts w:hint="eastAsia" w:ascii="仿宋" w:hAnsi="仿宋" w:eastAsia="仿宋"/>
          <w:sz w:val="28"/>
          <w:szCs w:val="28"/>
          <w:lang w:val="en-US" w:eastAsia="zh-CN"/>
        </w:rPr>
        <w:t>1</w:t>
      </w:r>
      <w:r>
        <w:rPr>
          <w:rFonts w:hint="eastAsia" w:ascii="仿宋" w:hAnsi="仿宋" w:eastAsia="仿宋"/>
          <w:sz w:val="28"/>
          <w:szCs w:val="28"/>
        </w:rPr>
        <w:t>日</w:t>
      </w:r>
    </w:p>
    <w:p>
      <w:pPr>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备注：销售数量以实际产生数量。 </w:t>
      </w:r>
      <w:r>
        <w:rPr>
          <w:rFonts w:hint="eastAsia" w:ascii="仿宋" w:hAnsi="仿宋" w:eastAsia="仿宋"/>
          <w:sz w:val="28"/>
          <w:szCs w:val="28"/>
          <w:lang w:val="en-US" w:eastAsia="zh-CN"/>
        </w:rPr>
        <w:t>宝武</w:t>
      </w:r>
      <w:r>
        <w:rPr>
          <w:rFonts w:hint="eastAsia" w:ascii="仿宋" w:hAnsi="仿宋" w:eastAsia="仿宋"/>
          <w:sz w:val="28"/>
          <w:szCs w:val="28"/>
        </w:rPr>
        <w:t>注册用户 /未注册用户签订合同保留2个工作日</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0"/>
        </w:numPr>
        <w:spacing w:line="360" w:lineRule="auto"/>
        <w:ind w:left="420" w:leftChars="0" w:firstLine="280" w:firstLineChars="10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企业及企业法人、股东、高管等从业人员不得是宝武集团黑名单人员，不得是太钢集团人员（含退休、不在职等情形）</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lang w:eastAsia="zh-CN"/>
        </w:rPr>
        <w:t>可再利用</w:t>
      </w:r>
      <w:r>
        <w:rPr>
          <w:rFonts w:hint="eastAsia" w:ascii="仿宋" w:hAnsi="仿宋" w:eastAsia="仿宋"/>
          <w:sz w:val="28"/>
          <w:szCs w:val="28"/>
        </w:rPr>
        <w:t xml:space="preserve">木材 </w:t>
      </w:r>
      <w:r>
        <w:rPr>
          <w:rFonts w:hint="eastAsia" w:ascii="仿宋" w:hAnsi="仿宋" w:eastAsia="仿宋"/>
          <w:sz w:val="28"/>
          <w:szCs w:val="28"/>
          <w:lang w:val="en-US" w:eastAsia="zh-CN"/>
        </w:rPr>
        <w:t>废</w:t>
      </w:r>
      <w:r>
        <w:rPr>
          <w:rFonts w:hint="eastAsia" w:ascii="仿宋" w:hAnsi="仿宋" w:eastAsia="仿宋"/>
          <w:sz w:val="28"/>
          <w:szCs w:val="28"/>
        </w:rPr>
        <w:t>旧物资回收、销售或</w:t>
      </w:r>
      <w:r>
        <w:rPr>
          <w:rFonts w:hint="eastAsia" w:ascii="仿宋" w:hAnsi="仿宋" w:eastAsia="仿宋"/>
          <w:sz w:val="28"/>
          <w:szCs w:val="28"/>
          <w:lang w:eastAsia="zh-CN"/>
        </w:rPr>
        <w:t>可再利用</w:t>
      </w:r>
      <w:r>
        <w:rPr>
          <w:rFonts w:hint="eastAsia" w:ascii="仿宋" w:hAnsi="仿宋" w:eastAsia="仿宋"/>
          <w:sz w:val="28"/>
          <w:szCs w:val="28"/>
        </w:rPr>
        <w:t xml:space="preserve">木材企业  </w:t>
      </w:r>
    </w:p>
    <w:p>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可再利用工艺包装材料</w:t>
      </w:r>
      <w:r>
        <w:rPr>
          <w:rFonts w:hint="eastAsia" w:ascii="仿宋" w:hAnsi="仿宋" w:eastAsia="仿宋"/>
          <w:sz w:val="28"/>
          <w:szCs w:val="28"/>
        </w:rPr>
        <w:t xml:space="preserve">   </w:t>
      </w:r>
      <w:r>
        <w:rPr>
          <w:rFonts w:hint="eastAsia" w:ascii="仿宋" w:hAnsi="仿宋" w:eastAsia="仿宋"/>
          <w:sz w:val="28"/>
          <w:szCs w:val="28"/>
          <w:lang w:val="en-US" w:eastAsia="zh-CN"/>
        </w:rPr>
        <w:t>废</w:t>
      </w:r>
      <w:r>
        <w:rPr>
          <w:rFonts w:hint="eastAsia" w:ascii="仿宋" w:hAnsi="仿宋" w:eastAsia="仿宋"/>
          <w:sz w:val="28"/>
          <w:szCs w:val="28"/>
        </w:rPr>
        <w:t>旧物资回收、销售</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pPr>
        <w:pStyle w:val="4"/>
        <w:tabs>
          <w:tab w:val="center" w:pos="4453"/>
        </w:tabs>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pStyle w:val="10"/>
        <w:numPr>
          <w:ilvl w:val="0"/>
          <w:numId w:val="0"/>
        </w:numPr>
        <w:spacing w:line="360" w:lineRule="auto"/>
        <w:ind w:left="699" w:leftChars="333" w:firstLine="0" w:firstLineChars="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w:t>
      </w:r>
      <w:r>
        <w:rPr>
          <w:rFonts w:hint="eastAsia" w:ascii="仿宋" w:hAnsi="仿宋" w:eastAsia="仿宋"/>
          <w:sz w:val="28"/>
          <w:szCs w:val="28"/>
          <w:lang w:val="en-US" w:eastAsia="zh-CN"/>
        </w:rPr>
        <w:t>标的物有关质量、规格、功能性</w:t>
      </w:r>
      <w:r>
        <w:rPr>
          <w:rFonts w:hint="eastAsia" w:ascii="仿宋" w:hAnsi="仿宋" w:eastAsia="仿宋"/>
          <w:sz w:val="28"/>
          <w:szCs w:val="28"/>
        </w:rPr>
        <w:t>异议拒绝履行或拖延履行招标结果，否则视同违约，我单位将违约情况告知招标平台，经招标平台调查核实后按招标平台对违约的规定进行处理，同时中标单位将被列入我单位禁入黑名单，</w:t>
      </w:r>
      <w:r>
        <w:rPr>
          <w:rFonts w:hint="eastAsia" w:ascii="仿宋" w:hAnsi="仿宋" w:eastAsia="仿宋"/>
          <w:sz w:val="28"/>
          <w:szCs w:val="28"/>
          <w:lang w:val="en-US" w:eastAsia="zh-CN"/>
        </w:rPr>
        <w:t>扣除全部保证金</w:t>
      </w:r>
      <w:r>
        <w:rPr>
          <w:rFonts w:hint="eastAsia" w:ascii="仿宋" w:hAnsi="仿宋" w:eastAsia="仿宋"/>
          <w:sz w:val="28"/>
          <w:szCs w:val="28"/>
        </w:rPr>
        <w:t>禁止再次参与太钢加工厂招标业务。</w:t>
      </w:r>
    </w:p>
    <w:p>
      <w:pPr>
        <w:spacing w:line="360" w:lineRule="auto"/>
        <w:ind w:left="700" w:leftChars="200" w:hanging="280" w:hangingChars="100"/>
        <w:rPr>
          <w:rFonts w:hint="eastAsia" w:ascii="仿宋" w:hAnsi="仿宋" w:eastAsia="仿宋"/>
          <w:sz w:val="28"/>
          <w:szCs w:val="28"/>
        </w:rPr>
      </w:pPr>
      <w:r>
        <w:rPr>
          <w:rFonts w:hint="eastAsia" w:ascii="仿宋" w:hAnsi="仿宋" w:eastAsia="仿宋"/>
          <w:sz w:val="28"/>
          <w:szCs w:val="28"/>
          <w:lang w:val="en-US" w:eastAsia="zh-CN"/>
        </w:rPr>
        <w:t>2、</w:t>
      </w:r>
      <w:bookmarkStart w:id="0" w:name="_GoBack"/>
      <w:r>
        <w:rPr>
          <w:rFonts w:hint="eastAsia" w:ascii="仿宋" w:hAnsi="仿宋" w:eastAsia="仿宋"/>
          <w:b/>
          <w:bCs/>
          <w:sz w:val="28"/>
          <w:szCs w:val="28"/>
        </w:rPr>
        <w:t>竞标结果经太钢加工厂审批同意后</w:t>
      </w:r>
      <w:bookmarkEnd w:id="0"/>
      <w:r>
        <w:rPr>
          <w:rFonts w:hint="eastAsia" w:ascii="仿宋" w:hAnsi="仿宋" w:eastAsia="仿宋"/>
          <w:sz w:val="28"/>
          <w:szCs w:val="28"/>
        </w:rPr>
        <w:t>，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w:t>
      </w:r>
      <w:r>
        <w:rPr>
          <w:rFonts w:hint="eastAsia" w:ascii="仿宋" w:hAnsi="仿宋" w:eastAsia="仿宋"/>
          <w:sz w:val="28"/>
          <w:szCs w:val="28"/>
          <w:lang w:eastAsia="zh-CN"/>
        </w:rPr>
        <w:t>可再利用</w:t>
      </w:r>
      <w:r>
        <w:rPr>
          <w:rFonts w:hint="eastAsia" w:ascii="仿宋" w:hAnsi="仿宋" w:eastAsia="仿宋"/>
          <w:sz w:val="28"/>
          <w:szCs w:val="28"/>
        </w:rPr>
        <w:t>，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pStyle w:val="4"/>
        <w:shd w:val="clear" w:color="auto" w:fill="FFFFFF"/>
        <w:spacing w:before="0" w:beforeAutospacing="0" w:after="150" w:afterAutospacing="0" w:line="360" w:lineRule="auto"/>
        <w:ind w:left="559" w:leftChars="266" w:firstLine="281" w:firstLineChars="100"/>
        <w:rPr>
          <w:rFonts w:ascii="仿宋" w:hAnsi="仿宋" w:eastAsia="仿宋" w:cs="Times New Roman"/>
          <w:kern w:val="2"/>
          <w:sz w:val="28"/>
          <w:szCs w:val="28"/>
        </w:rPr>
      </w:pPr>
      <w:r>
        <w:rPr>
          <w:rFonts w:hint="eastAsia" w:ascii="仿宋" w:hAnsi="仿宋" w:eastAsia="仿宋"/>
          <w:b/>
          <w:bCs/>
          <w:sz w:val="28"/>
          <w:szCs w:val="28"/>
        </w:rPr>
        <w:t>备注：</w:t>
      </w:r>
      <w:r>
        <w:rPr>
          <w:rFonts w:hint="eastAsia" w:ascii="仿宋" w:hAnsi="仿宋" w:eastAsia="仿宋"/>
          <w:b/>
          <w:bCs/>
          <w:sz w:val="28"/>
          <w:szCs w:val="28"/>
          <w:lang w:eastAsia="zh-CN"/>
        </w:rPr>
        <w:t>可再利用</w:t>
      </w:r>
      <w:r>
        <w:rPr>
          <w:rFonts w:hint="eastAsia" w:ascii="仿宋" w:hAnsi="仿宋" w:eastAsia="仿宋"/>
          <w:b/>
          <w:bCs/>
          <w:sz w:val="28"/>
          <w:szCs w:val="28"/>
        </w:rPr>
        <w:t>工艺包装材料、</w:t>
      </w:r>
      <w:r>
        <w:rPr>
          <w:rFonts w:hint="eastAsia" w:ascii="仿宋" w:hAnsi="仿宋" w:eastAsia="仿宋"/>
          <w:b/>
          <w:bCs/>
          <w:sz w:val="28"/>
          <w:szCs w:val="28"/>
          <w:lang w:eastAsia="zh-CN"/>
        </w:rPr>
        <w:t>可再利用</w:t>
      </w:r>
      <w:r>
        <w:rPr>
          <w:rFonts w:hint="eastAsia" w:ascii="仿宋" w:hAnsi="仿宋" w:eastAsia="仿宋"/>
          <w:b/>
          <w:bCs/>
          <w:sz w:val="28"/>
          <w:szCs w:val="28"/>
        </w:rPr>
        <w:t>木材属于保产标的，中标单位须</w:t>
      </w:r>
      <w:r>
        <w:rPr>
          <w:rFonts w:hint="eastAsia" w:ascii="仿宋" w:hAnsi="仿宋" w:eastAsia="仿宋"/>
          <w:b/>
          <w:bCs/>
          <w:sz w:val="28"/>
          <w:szCs w:val="28"/>
          <w:lang w:val="en-US" w:eastAsia="zh-CN"/>
        </w:rPr>
        <w:t>每天</w:t>
      </w:r>
      <w:r>
        <w:rPr>
          <w:rFonts w:hint="eastAsia" w:ascii="仿宋" w:hAnsi="仿宋" w:eastAsia="仿宋"/>
          <w:b/>
          <w:bCs/>
          <w:sz w:val="28"/>
          <w:szCs w:val="28"/>
        </w:rPr>
        <w:t>拉运，清空现场</w:t>
      </w:r>
      <w:r>
        <w:rPr>
          <w:rFonts w:hint="eastAsia" w:ascii="仿宋" w:hAnsi="仿宋" w:eastAsia="仿宋"/>
          <w:b/>
          <w:bCs/>
          <w:sz w:val="28"/>
          <w:szCs w:val="28"/>
          <w:lang w:eastAsia="zh-CN"/>
        </w:rPr>
        <w:t>，</w:t>
      </w:r>
      <w:r>
        <w:rPr>
          <w:rFonts w:hint="eastAsia" w:ascii="仿宋" w:hAnsi="仿宋" w:eastAsia="仿宋"/>
          <w:b/>
          <w:bCs/>
          <w:sz w:val="28"/>
          <w:szCs w:val="28"/>
        </w:rPr>
        <w:t>未在规定时间内提货影响生产及现场安全等不执行合同或不完全执行合同将拉入黑名单并扣除全部保证金。</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3、中标报价为含税竞买报价，提货数量招标数量的±20%。提货结算</w:t>
      </w:r>
      <w:r>
        <w:rPr>
          <w:rFonts w:hint="eastAsia" w:ascii="仿宋" w:hAnsi="仿宋" w:eastAsia="仿宋"/>
          <w:sz w:val="28"/>
          <w:szCs w:val="28"/>
          <w:lang w:val="en-US" w:eastAsia="zh-CN"/>
        </w:rPr>
        <w:t xml:space="preserve">  </w:t>
      </w:r>
      <w:r>
        <w:rPr>
          <w:rFonts w:hint="eastAsia" w:ascii="仿宋" w:hAnsi="仿宋" w:eastAsia="仿宋"/>
          <w:sz w:val="28"/>
          <w:szCs w:val="28"/>
        </w:rPr>
        <w:t>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lang w:val="en-US" w:eastAsia="zh-CN"/>
        </w:rPr>
        <w:t>5</w:t>
      </w:r>
      <w:r>
        <w:rPr>
          <w:rFonts w:ascii="仿宋" w:hAnsi="仿宋" w:eastAsia="仿宋" w:cs="Times New Roman"/>
          <w:kern w:val="2"/>
          <w:sz w:val="28"/>
          <w:szCs w:val="28"/>
        </w:rPr>
        <w:t>、其它有关规定详见欧冶循环宝发布的《竞价交易规则》。</w:t>
      </w:r>
    </w:p>
    <w:p>
      <w:pPr>
        <w:spacing w:line="360" w:lineRule="auto"/>
        <w:rPr>
          <w:rFonts w:ascii="仿宋" w:hAnsi="仿宋" w:eastAsia="仿宋"/>
          <w:b/>
          <w:sz w:val="28"/>
          <w:szCs w:val="28"/>
        </w:rPr>
      </w:pPr>
      <w:r>
        <w:rPr>
          <w:rFonts w:hint="eastAsia" w:ascii="仿宋" w:hAnsi="仿宋" w:eastAsia="仿宋"/>
          <w:b/>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rPr>
        <w:t xml:space="preserve">  </w:t>
      </w:r>
    </w:p>
    <w:p>
      <w:pPr>
        <w:spacing w:line="360" w:lineRule="auto"/>
        <w:ind w:firstLine="280" w:firstLineChars="100"/>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rFonts w:hint="eastAsia"/>
          <w:b/>
          <w:sz w:val="32"/>
          <w:szCs w:val="32"/>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sectPr>
      <w:pgSz w:w="11906" w:h="16838"/>
      <w:pgMar w:top="1440" w:right="168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2251A"/>
    <w:rsid w:val="0002768A"/>
    <w:rsid w:val="000302FF"/>
    <w:rsid w:val="000313DD"/>
    <w:rsid w:val="0003652C"/>
    <w:rsid w:val="00043333"/>
    <w:rsid w:val="00047C9F"/>
    <w:rsid w:val="00051DA3"/>
    <w:rsid w:val="000876F4"/>
    <w:rsid w:val="000978F7"/>
    <w:rsid w:val="000C0AD7"/>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3CD0"/>
    <w:rsid w:val="00255687"/>
    <w:rsid w:val="00255EFE"/>
    <w:rsid w:val="002607F5"/>
    <w:rsid w:val="002640E0"/>
    <w:rsid w:val="00284551"/>
    <w:rsid w:val="002B0212"/>
    <w:rsid w:val="002B0520"/>
    <w:rsid w:val="002E0D28"/>
    <w:rsid w:val="002E7DF2"/>
    <w:rsid w:val="003120F2"/>
    <w:rsid w:val="003213D1"/>
    <w:rsid w:val="003459AD"/>
    <w:rsid w:val="0036345B"/>
    <w:rsid w:val="003665B3"/>
    <w:rsid w:val="0038465C"/>
    <w:rsid w:val="00394DF9"/>
    <w:rsid w:val="00395B80"/>
    <w:rsid w:val="003A31FE"/>
    <w:rsid w:val="003C0E4C"/>
    <w:rsid w:val="003F3EE7"/>
    <w:rsid w:val="0043468C"/>
    <w:rsid w:val="004434FC"/>
    <w:rsid w:val="00464082"/>
    <w:rsid w:val="00471118"/>
    <w:rsid w:val="00486590"/>
    <w:rsid w:val="00487C46"/>
    <w:rsid w:val="004A01AE"/>
    <w:rsid w:val="004C16AB"/>
    <w:rsid w:val="004C3E5A"/>
    <w:rsid w:val="004D5002"/>
    <w:rsid w:val="004F0A4E"/>
    <w:rsid w:val="004F5E0A"/>
    <w:rsid w:val="00515EFA"/>
    <w:rsid w:val="0053214A"/>
    <w:rsid w:val="00540622"/>
    <w:rsid w:val="00542C4F"/>
    <w:rsid w:val="0056354A"/>
    <w:rsid w:val="00585217"/>
    <w:rsid w:val="005907F9"/>
    <w:rsid w:val="005A70E8"/>
    <w:rsid w:val="005B2D94"/>
    <w:rsid w:val="005B59BF"/>
    <w:rsid w:val="005C18BC"/>
    <w:rsid w:val="005C464C"/>
    <w:rsid w:val="005C5E4D"/>
    <w:rsid w:val="005C7341"/>
    <w:rsid w:val="005D246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6B0F"/>
    <w:rsid w:val="00670617"/>
    <w:rsid w:val="00671366"/>
    <w:rsid w:val="006721F4"/>
    <w:rsid w:val="00685093"/>
    <w:rsid w:val="006859EB"/>
    <w:rsid w:val="00691876"/>
    <w:rsid w:val="006A5916"/>
    <w:rsid w:val="006C18D2"/>
    <w:rsid w:val="006D1653"/>
    <w:rsid w:val="006D1839"/>
    <w:rsid w:val="006D301A"/>
    <w:rsid w:val="006E217B"/>
    <w:rsid w:val="00700083"/>
    <w:rsid w:val="00701FDD"/>
    <w:rsid w:val="0071080B"/>
    <w:rsid w:val="00710992"/>
    <w:rsid w:val="007372D6"/>
    <w:rsid w:val="007504AB"/>
    <w:rsid w:val="00751385"/>
    <w:rsid w:val="00756D3A"/>
    <w:rsid w:val="00763A3F"/>
    <w:rsid w:val="00763C7D"/>
    <w:rsid w:val="00782CE7"/>
    <w:rsid w:val="00790679"/>
    <w:rsid w:val="00790CB4"/>
    <w:rsid w:val="007B61A2"/>
    <w:rsid w:val="007C6862"/>
    <w:rsid w:val="007D3880"/>
    <w:rsid w:val="008058B1"/>
    <w:rsid w:val="0082156C"/>
    <w:rsid w:val="00824D45"/>
    <w:rsid w:val="00830C8B"/>
    <w:rsid w:val="00832DFF"/>
    <w:rsid w:val="00847A29"/>
    <w:rsid w:val="00854E01"/>
    <w:rsid w:val="00861766"/>
    <w:rsid w:val="00875CB2"/>
    <w:rsid w:val="008768BE"/>
    <w:rsid w:val="00882F25"/>
    <w:rsid w:val="00885080"/>
    <w:rsid w:val="00894EC1"/>
    <w:rsid w:val="008A5A8D"/>
    <w:rsid w:val="008B60DE"/>
    <w:rsid w:val="008F2DCD"/>
    <w:rsid w:val="00910C6A"/>
    <w:rsid w:val="00912613"/>
    <w:rsid w:val="009176E8"/>
    <w:rsid w:val="009341E5"/>
    <w:rsid w:val="00935E85"/>
    <w:rsid w:val="009529D1"/>
    <w:rsid w:val="00955D20"/>
    <w:rsid w:val="00955FEF"/>
    <w:rsid w:val="00971BBC"/>
    <w:rsid w:val="009739BC"/>
    <w:rsid w:val="00991B1C"/>
    <w:rsid w:val="009926E1"/>
    <w:rsid w:val="009B0391"/>
    <w:rsid w:val="009C7889"/>
    <w:rsid w:val="009E081C"/>
    <w:rsid w:val="009E50A4"/>
    <w:rsid w:val="00A210BA"/>
    <w:rsid w:val="00A25C71"/>
    <w:rsid w:val="00A34EC6"/>
    <w:rsid w:val="00A5256A"/>
    <w:rsid w:val="00A741AC"/>
    <w:rsid w:val="00A92D9F"/>
    <w:rsid w:val="00A9533B"/>
    <w:rsid w:val="00A970A8"/>
    <w:rsid w:val="00AB2BDE"/>
    <w:rsid w:val="00AB38A4"/>
    <w:rsid w:val="00AE3762"/>
    <w:rsid w:val="00AE4415"/>
    <w:rsid w:val="00AF3F9A"/>
    <w:rsid w:val="00B42330"/>
    <w:rsid w:val="00B470A5"/>
    <w:rsid w:val="00B50663"/>
    <w:rsid w:val="00B61161"/>
    <w:rsid w:val="00B7101B"/>
    <w:rsid w:val="00B71C28"/>
    <w:rsid w:val="00B922B7"/>
    <w:rsid w:val="00B9674C"/>
    <w:rsid w:val="00BB21EF"/>
    <w:rsid w:val="00BB690B"/>
    <w:rsid w:val="00BC493B"/>
    <w:rsid w:val="00BD1740"/>
    <w:rsid w:val="00BD5E76"/>
    <w:rsid w:val="00BE72BA"/>
    <w:rsid w:val="00BF3594"/>
    <w:rsid w:val="00C079D2"/>
    <w:rsid w:val="00C27206"/>
    <w:rsid w:val="00C34446"/>
    <w:rsid w:val="00C442A8"/>
    <w:rsid w:val="00C45E06"/>
    <w:rsid w:val="00C54E01"/>
    <w:rsid w:val="00C60423"/>
    <w:rsid w:val="00C779F0"/>
    <w:rsid w:val="00CB5B32"/>
    <w:rsid w:val="00CF6823"/>
    <w:rsid w:val="00D069F2"/>
    <w:rsid w:val="00D14F44"/>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2433"/>
    <w:rsid w:val="00E275D0"/>
    <w:rsid w:val="00E52AF1"/>
    <w:rsid w:val="00E61930"/>
    <w:rsid w:val="00E83AAA"/>
    <w:rsid w:val="00E84230"/>
    <w:rsid w:val="00E84B04"/>
    <w:rsid w:val="00E9393B"/>
    <w:rsid w:val="00EB088F"/>
    <w:rsid w:val="00EB7425"/>
    <w:rsid w:val="00EE0A82"/>
    <w:rsid w:val="00EE4E65"/>
    <w:rsid w:val="00EE51B0"/>
    <w:rsid w:val="00EF6B27"/>
    <w:rsid w:val="00F00C40"/>
    <w:rsid w:val="00F02C28"/>
    <w:rsid w:val="00F03127"/>
    <w:rsid w:val="00F27C14"/>
    <w:rsid w:val="00F30EE1"/>
    <w:rsid w:val="00F364AE"/>
    <w:rsid w:val="00F47343"/>
    <w:rsid w:val="00F62599"/>
    <w:rsid w:val="00F63BCA"/>
    <w:rsid w:val="00F7582A"/>
    <w:rsid w:val="00FA108D"/>
    <w:rsid w:val="00FC276F"/>
    <w:rsid w:val="036B4BAC"/>
    <w:rsid w:val="04984670"/>
    <w:rsid w:val="069A3430"/>
    <w:rsid w:val="070C181F"/>
    <w:rsid w:val="0ADD26BB"/>
    <w:rsid w:val="0D314E49"/>
    <w:rsid w:val="1215166B"/>
    <w:rsid w:val="1217044F"/>
    <w:rsid w:val="1A7408E8"/>
    <w:rsid w:val="29694882"/>
    <w:rsid w:val="2A364A94"/>
    <w:rsid w:val="2C4B4A59"/>
    <w:rsid w:val="2CB70257"/>
    <w:rsid w:val="2DD34C89"/>
    <w:rsid w:val="2F4C0B9C"/>
    <w:rsid w:val="30426312"/>
    <w:rsid w:val="30E65DCB"/>
    <w:rsid w:val="33AD11F4"/>
    <w:rsid w:val="33DE6FA1"/>
    <w:rsid w:val="341E6BA4"/>
    <w:rsid w:val="34916B65"/>
    <w:rsid w:val="36DB307D"/>
    <w:rsid w:val="3A6D17A8"/>
    <w:rsid w:val="3B486F08"/>
    <w:rsid w:val="3DED26C0"/>
    <w:rsid w:val="42C503AC"/>
    <w:rsid w:val="49C44DBB"/>
    <w:rsid w:val="4BC3789A"/>
    <w:rsid w:val="4E005E1B"/>
    <w:rsid w:val="4FA81658"/>
    <w:rsid w:val="57F05DD2"/>
    <w:rsid w:val="5A931FF5"/>
    <w:rsid w:val="5B525058"/>
    <w:rsid w:val="5C8C64A0"/>
    <w:rsid w:val="5DCE1DA6"/>
    <w:rsid w:val="608E6C1E"/>
    <w:rsid w:val="628E03BF"/>
    <w:rsid w:val="65152D96"/>
    <w:rsid w:val="6ABF15AE"/>
    <w:rsid w:val="6AFB5211"/>
    <w:rsid w:val="6F3C490B"/>
    <w:rsid w:val="71773D9C"/>
    <w:rsid w:val="71B308F2"/>
    <w:rsid w:val="738859C1"/>
    <w:rsid w:val="79453FC6"/>
    <w:rsid w:val="7AC45096"/>
    <w:rsid w:val="7BE56DF5"/>
    <w:rsid w:val="7FC34E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Words>
  <Characters>1397</Characters>
  <Lines>11</Lines>
  <Paragraphs>3</Paragraphs>
  <TotalTime>0</TotalTime>
  <ScaleCrop>false</ScaleCrop>
  <LinksUpToDate>false</LinksUpToDate>
  <CharactersWithSpaces>1639</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2023-06-28T00:40:00Z</dcterms:created>
  <dc:creator>亢志兰</dc:creator>
  <cp:lastModifiedBy>经营管理室</cp:lastModifiedBy>
  <dcterms:modified xsi:type="dcterms:W3CDTF">2024-12-11T02:18:01Z</dcterms:modified>
  <dc:title>销 售 公 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FE99382EB52F41129DCC28014BFFC1BF</vt:lpwstr>
  </property>
</Properties>
</file>