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2457B">
      <w:pPr>
        <w:rPr>
          <w:rFonts w:hint="eastAsia"/>
        </w:rPr>
      </w:pPr>
    </w:p>
    <w:p w14:paraId="7542A5E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重庆钢铁（集团）有限责任公司</w:t>
      </w:r>
    </w:p>
    <w:p w14:paraId="0E7E3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关于重庆市江北区三钢二路27号</w:t>
      </w:r>
    </w:p>
    <w:p w14:paraId="16549F1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仿宋_GBK" w:hAnsi="宋体" w:eastAsia="方正仿宋_GBK" w:cs="宋体"/>
          <w:b/>
          <w:bCs/>
          <w:kern w:val="0"/>
          <w:sz w:val="36"/>
          <w:szCs w:val="36"/>
          <w:lang w:val="en-US" w:eastAsia="zh-CN" w:bidi="ar-SA"/>
        </w:rPr>
      </w:pPr>
      <w:r>
        <w:rPr>
          <w:rFonts w:hint="eastAsia" w:ascii="方正仿宋_GBK" w:hAnsi="宋体" w:eastAsia="方正仿宋_GBK" w:cs="宋体"/>
          <w:b/>
          <w:bCs/>
          <w:kern w:val="0"/>
          <w:sz w:val="36"/>
          <w:szCs w:val="36"/>
          <w:lang w:val="en-US" w:eastAsia="zh-CN" w:bidi="ar-SA"/>
        </w:rPr>
        <w:t>网上公开竞租预告</w:t>
      </w:r>
    </w:p>
    <w:p w14:paraId="75AF0D57">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宋体" w:eastAsia="方正仿宋_GBK" w:cs="宋体"/>
          <w:kern w:val="2"/>
          <w:sz w:val="28"/>
          <w:szCs w:val="28"/>
          <w:lang w:val="en-US" w:eastAsia="zh-CN" w:bidi="ar-SA"/>
        </w:rPr>
      </w:pPr>
    </w:p>
    <w:p w14:paraId="0E81814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重庆钢铁（集团）有限责任公司将对重庆市江北区三钢二路27号进行网上公开竞租，现将有关事项公告如下：</w:t>
      </w:r>
    </w:p>
    <w:p w14:paraId="7E8DD71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一、招租范围及现状</w:t>
      </w:r>
    </w:p>
    <w:p w14:paraId="1187980A">
      <w:pPr>
        <w:keepNext w:val="0"/>
        <w:keepLines w:val="0"/>
        <w:pageBreakBefore w:val="0"/>
        <w:widowControl w:val="0"/>
        <w:kinsoku/>
        <w:wordWrap/>
        <w:overflowPunct/>
        <w:topLinePunct w:val="0"/>
        <w:autoSpaceDE/>
        <w:autoSpaceDN/>
        <w:bidi w:val="0"/>
        <w:adjustRightInd/>
        <w:snapToGrid/>
        <w:spacing w:line="360" w:lineRule="auto"/>
        <w:ind w:firstLine="560"/>
        <w:jc w:val="both"/>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重庆市江北区江北区三钢二路27号，出租面积183.70㎡，本次招租以现状出租。</w:t>
      </w:r>
    </w:p>
    <w:p w14:paraId="24FAD267">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二、招租底价</w:t>
      </w:r>
    </w:p>
    <w:p w14:paraId="76FC6635">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竞租人的最终摘牌价为一年租赁费（含税、不含物管费）。</w:t>
      </w:r>
    </w:p>
    <w:p w14:paraId="01EBB04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三、资金支付方式及履约保证金</w:t>
      </w:r>
    </w:p>
    <w:p w14:paraId="63792D00">
      <w:pPr>
        <w:pStyle w:val="2"/>
        <w:keepNext w:val="0"/>
        <w:keepLines w:val="0"/>
        <w:pageBreakBefore w:val="0"/>
        <w:widowControl w:val="0"/>
        <w:kinsoku/>
        <w:wordWrap/>
        <w:overflowPunct/>
        <w:topLinePunct w:val="0"/>
        <w:bidi w:val="0"/>
        <w:snapToGrid/>
        <w:spacing w:line="580" w:lineRule="exact"/>
        <w:ind w:firstLine="560" w:firstLineChars="200"/>
        <w:textAlignment w:val="auto"/>
        <w:rPr>
          <w:rFonts w:hint="default"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租金实行先付后租，按半年预付，履约保证金为6个月月租金及6个月物管费之和。</w:t>
      </w:r>
    </w:p>
    <w:p w14:paraId="7638C22D">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四、租赁期限</w:t>
      </w:r>
    </w:p>
    <w:p w14:paraId="41A4068D">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default"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1年。</w:t>
      </w:r>
    </w:p>
    <w:p w14:paraId="71164A08">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五、优惠政策</w:t>
      </w:r>
    </w:p>
    <w:p w14:paraId="4E5F0E04">
      <w:pPr>
        <w:pStyle w:val="2"/>
        <w:keepNext w:val="0"/>
        <w:keepLines w:val="0"/>
        <w:pageBreakBefore w:val="0"/>
        <w:widowControl w:val="0"/>
        <w:kinsoku/>
        <w:wordWrap/>
        <w:overflowPunct/>
        <w:topLinePunct w:val="0"/>
        <w:bidi w:val="0"/>
        <w:snapToGrid/>
        <w:spacing w:line="580" w:lineRule="exact"/>
        <w:ind w:firstLine="560" w:firstLineChars="200"/>
        <w:textAlignment w:val="auto"/>
        <w:rPr>
          <w:rFonts w:hint="eastAsia" w:ascii="方正仿宋_GBK" w:hAnsi="宋体" w:eastAsia="方正仿宋_GBK" w:cs="宋体"/>
          <w:color w:val="auto"/>
          <w:kern w:val="2"/>
          <w:sz w:val="28"/>
          <w:szCs w:val="28"/>
          <w:lang w:val="en-US" w:eastAsia="zh-CN" w:bidi="ar-SA"/>
        </w:rPr>
      </w:pPr>
      <w:r>
        <w:rPr>
          <w:rFonts w:hint="eastAsia" w:ascii="方正仿宋_GBK" w:hAnsi="宋体" w:eastAsia="方正仿宋_GBK" w:cs="宋体"/>
          <w:color w:val="auto"/>
          <w:kern w:val="2"/>
          <w:sz w:val="28"/>
          <w:szCs w:val="28"/>
          <w:lang w:val="en-US" w:eastAsia="zh-CN" w:bidi="ar-SA"/>
        </w:rPr>
        <w:t>无优惠。</w:t>
      </w:r>
    </w:p>
    <w:p w14:paraId="5BABEAD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六、出租用途及费用约定</w:t>
      </w:r>
    </w:p>
    <w:p w14:paraId="3A072BDB">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该房屋租赁用途作为商业或办公使用，业态方向：餐饮业、零售业、服务业、培训业等（禁止：按摩、洗浴业态），</w:t>
      </w:r>
      <w:r>
        <w:rPr>
          <w:rFonts w:hint="eastAsia" w:ascii="方正仿宋_GBK" w:hAnsi="宋体" w:eastAsia="方正仿宋_GBK" w:cs="宋体"/>
          <w:sz w:val="28"/>
          <w:szCs w:val="28"/>
          <w:lang w:eastAsia="zh-CN"/>
        </w:rPr>
        <w:t>需符合环保</w:t>
      </w:r>
      <w:r>
        <w:rPr>
          <w:rFonts w:hint="default" w:ascii="方正仿宋_GBK" w:hAnsi="宋体" w:eastAsia="方正仿宋_GBK" w:cs="宋体"/>
          <w:sz w:val="28"/>
          <w:szCs w:val="28"/>
          <w:lang w:eastAsia="zh-CN"/>
        </w:rPr>
        <w:t>、卫生、消防等相关要求</w:t>
      </w:r>
      <w:r>
        <w:rPr>
          <w:rFonts w:hint="eastAsia" w:ascii="方正仿宋_GBK" w:hAnsi="宋体" w:eastAsia="方正仿宋_GBK" w:cs="宋体"/>
          <w:kern w:val="2"/>
          <w:sz w:val="28"/>
          <w:szCs w:val="28"/>
          <w:lang w:val="en-US" w:eastAsia="zh-CN" w:bidi="ar-SA"/>
        </w:rPr>
        <w:t>。承租方必须承担租赁期限内的水费、电费、物业等相关费用，以及房屋及所属设施（包括室内水、电等）的保养、维修费用。</w:t>
      </w:r>
    </w:p>
    <w:p w14:paraId="707A066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八、竞租条件</w:t>
      </w:r>
    </w:p>
    <w:p w14:paraId="27AEC0AE">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1.中华人民共和国境内法人组织和自然人（无违法犯罪记录）。</w:t>
      </w:r>
    </w:p>
    <w:p w14:paraId="41FD4103">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2.此次竞租采用增价方式进行公开竞价，按照价高者得的原则确定竞得人。</w:t>
      </w:r>
    </w:p>
    <w:p w14:paraId="51374686">
      <w:pPr>
        <w:pStyle w:val="2"/>
        <w:ind w:firstLine="560" w:firstLineChars="200"/>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3.参加本次网上竞租的竞租人，需要在上海欧冶供应链有限公司（循环宝)竞租平台（https://www.ouyeel.com/）进行注册竞租，并缴纳竞租保证金，竞租保证金由竞租申请人交纳至东方钢铁在线平台。足额交纳保证金后具备竞租资格。</w:t>
      </w:r>
    </w:p>
    <w:p w14:paraId="32635630">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4.</w:t>
      </w:r>
      <w:r>
        <w:rPr>
          <w:rFonts w:hint="eastAsia" w:ascii="方正仿宋_GBK" w:hAnsi="宋体" w:eastAsia="方正仿宋_GBK" w:cs="宋体"/>
          <w:kern w:val="2"/>
          <w:sz w:val="28"/>
          <w:szCs w:val="28"/>
          <w:highlight w:val="none"/>
          <w:lang w:val="en-US" w:eastAsia="zh-CN" w:bidi="ar-SA"/>
        </w:rPr>
        <w:t>竞得人需向上海欧冶供应链有限公司（循环宝)竞租平台交纳服务费（缴纳标准以平台为准）。</w:t>
      </w:r>
      <w:r>
        <w:rPr>
          <w:rFonts w:hint="eastAsia" w:ascii="方正仿宋_GBK" w:hAnsi="宋体" w:eastAsia="方正仿宋_GBK" w:cs="宋体"/>
          <w:kern w:val="2"/>
          <w:sz w:val="28"/>
          <w:szCs w:val="28"/>
          <w:lang w:val="en-US" w:eastAsia="zh-CN" w:bidi="ar-SA"/>
        </w:rPr>
        <w:t>剩余竞租保证金原账户退回。竞得人须在公示期（公示期为标的成交次日起3个工作日）满后7个工作日内到重庆钢铁（集团）有限责任公司办理成交确认手续，逾期视为自动放弃，竞租保证金不予退回。</w:t>
      </w:r>
    </w:p>
    <w:p w14:paraId="08D2A6C9">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九、竞价规则</w:t>
      </w:r>
    </w:p>
    <w:p w14:paraId="07AE06C7">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1.本次竞价出租，竞租人初始报价不得低于竞租底价，否则视为无效报价。</w:t>
      </w:r>
    </w:p>
    <w:p w14:paraId="09F13731">
      <w:pPr>
        <w:pStyle w:val="2"/>
        <w:ind w:firstLine="560" w:firstLineChars="200"/>
        <w:rPr>
          <w:rFonts w:hint="eastAsia"/>
          <w:lang w:val="en-US" w:eastAsia="zh-CN"/>
        </w:rPr>
      </w:pPr>
      <w:r>
        <w:rPr>
          <w:rFonts w:hint="eastAsia" w:ascii="方正仿宋_GBK" w:hAnsi="宋体" w:eastAsia="方正仿宋_GBK" w:cs="宋体"/>
          <w:kern w:val="2"/>
          <w:sz w:val="28"/>
          <w:szCs w:val="28"/>
          <w:lang w:val="en-US" w:eastAsia="zh-CN" w:bidi="ar-SA"/>
        </w:rPr>
        <w:t>2.在公告约定的竞租报价时间内，竞租人可以多次报价，以竞租底价为基础</w:t>
      </w:r>
      <w:r>
        <w:rPr>
          <w:rFonts w:hint="eastAsia" w:ascii="方正仿宋_GBK" w:hAnsi="宋体" w:eastAsia="方正仿宋_GBK" w:cs="宋体"/>
          <w:kern w:val="2"/>
          <w:sz w:val="28"/>
          <w:szCs w:val="28"/>
          <w:highlight w:val="none"/>
          <w:lang w:val="en-US" w:eastAsia="zh-CN" w:bidi="ar-SA"/>
        </w:rPr>
        <w:t>，每次加价不低于</w:t>
      </w:r>
      <w:r>
        <w:rPr>
          <w:rFonts w:hint="eastAsia" w:ascii="方正仿宋_GBK" w:hAnsi="宋体" w:eastAsia="方正仿宋_GBK" w:cs="宋体"/>
          <w:kern w:val="2"/>
          <w:sz w:val="28"/>
          <w:szCs w:val="28"/>
          <w:highlight w:val="none"/>
          <w:lang w:val="en-US" w:eastAsia="zh-CN" w:bidi="ar-SA"/>
        </w:rPr>
        <w:t>加价幅度，以加价幅度的整数倍递加。最</w:t>
      </w:r>
      <w:r>
        <w:rPr>
          <w:rFonts w:hint="eastAsia" w:ascii="方正仿宋_GBK" w:hAnsi="宋体" w:eastAsia="方正仿宋_GBK" w:cs="宋体"/>
          <w:kern w:val="2"/>
          <w:sz w:val="28"/>
          <w:szCs w:val="28"/>
          <w:lang w:val="en-US" w:eastAsia="zh-CN" w:bidi="ar-SA"/>
        </w:rPr>
        <w:t>后截止时间的最高报价且报价时间早为竞得者。</w:t>
      </w:r>
    </w:p>
    <w:p w14:paraId="4E6A0FA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九、其他约定事项</w:t>
      </w:r>
    </w:p>
    <w:p w14:paraId="5DEB4EFC">
      <w:pPr>
        <w:keepNext w:val="0"/>
        <w:keepLines w:val="0"/>
        <w:pageBreakBefore w:val="0"/>
        <w:widowControl w:val="0"/>
        <w:kinsoku/>
        <w:wordWrap/>
        <w:overflowPunct/>
        <w:topLinePunct w:val="0"/>
        <w:autoSpaceDE/>
        <w:autoSpaceDN/>
        <w:bidi w:val="0"/>
        <w:adjustRightInd/>
        <w:snapToGrid/>
        <w:spacing w:line="579" w:lineRule="exact"/>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1.合同签约主体为</w:t>
      </w:r>
      <w:r>
        <w:rPr>
          <w:rFonts w:hint="eastAsia" w:ascii="方正仿宋_GBK" w:hAnsi="宋体" w:eastAsia="方正仿宋_GBK" w:cs="宋体"/>
          <w:kern w:val="2"/>
          <w:sz w:val="28"/>
          <w:szCs w:val="28"/>
          <w:highlight w:val="none"/>
          <w:lang w:val="en-US" w:eastAsia="zh-CN" w:bidi="ar-SA"/>
        </w:rPr>
        <w:t>重庆钢铁集团中兴实业有限责任公司</w:t>
      </w:r>
      <w:r>
        <w:rPr>
          <w:rFonts w:hint="eastAsia" w:ascii="方正仿宋_GBK" w:hAnsi="宋体" w:eastAsia="方正仿宋_GBK" w:cs="宋体"/>
          <w:kern w:val="2"/>
          <w:sz w:val="28"/>
          <w:szCs w:val="28"/>
          <w:lang w:val="en-US" w:eastAsia="zh-CN" w:bidi="ar-SA"/>
        </w:rPr>
        <w:t>。</w:t>
      </w:r>
    </w:p>
    <w:p w14:paraId="514D2B10">
      <w:pPr>
        <w:pStyle w:val="2"/>
        <w:keepNext w:val="0"/>
        <w:keepLines w:val="0"/>
        <w:pageBreakBefore w:val="0"/>
        <w:kinsoku/>
        <w:wordWrap/>
        <w:overflowPunct/>
        <w:topLinePunct w:val="0"/>
        <w:bidi w:val="0"/>
        <w:snapToGrid/>
        <w:spacing w:line="579" w:lineRule="exact"/>
        <w:ind w:firstLine="560" w:firstLineChars="200"/>
        <w:rPr>
          <w:rFonts w:hint="eastAsia"/>
          <w:lang w:val="en-US" w:eastAsia="zh-CN"/>
        </w:rPr>
      </w:pPr>
      <w:r>
        <w:rPr>
          <w:rFonts w:hint="eastAsia" w:ascii="方正仿宋_GBK" w:hAnsi="宋体" w:eastAsia="方正仿宋_GBK" w:cs="宋体"/>
          <w:kern w:val="2"/>
          <w:sz w:val="28"/>
          <w:szCs w:val="28"/>
          <w:lang w:val="en-US" w:eastAsia="zh-CN" w:bidi="ar-SA"/>
        </w:rPr>
        <w:t>2.不允许破坏房屋结构，餐饮行业须符合附件《餐饮业特别条款》的约定，外摆区域应按照政府相关规定使用。</w:t>
      </w:r>
    </w:p>
    <w:p w14:paraId="0E000E1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九、竞租联系人</w:t>
      </w:r>
    </w:p>
    <w:p w14:paraId="3273F1E4">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业务联系人：魏女士，联系电话：15823416051。</w:t>
      </w:r>
    </w:p>
    <w:p w14:paraId="75ED770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方正仿宋_GBK" w:hAnsi="宋体" w:eastAsia="方正仿宋_GBK" w:cs="宋体"/>
          <w:kern w:val="2"/>
          <w:sz w:val="28"/>
          <w:szCs w:val="28"/>
          <w:lang w:val="en-US" w:eastAsia="zh-CN" w:bidi="ar-SA"/>
        </w:rPr>
      </w:pPr>
    </w:p>
    <w:p w14:paraId="55345280">
      <w:pPr>
        <w:pStyle w:val="2"/>
        <w:rPr>
          <w:rFonts w:hint="eastAsia"/>
          <w:lang w:val="en-US" w:eastAsia="zh-CN"/>
        </w:rPr>
      </w:pPr>
    </w:p>
    <w:p w14:paraId="1F79330E">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t xml:space="preserve">                                重庆钢铁（集团）有限责任公司                                                          2024年10月18日</w:t>
      </w:r>
    </w:p>
    <w:p w14:paraId="4E8BA349">
      <w:pPr>
        <w:rPr>
          <w:rFonts w:hint="eastAsia" w:ascii="方正仿宋_GBK" w:hAnsi="宋体" w:eastAsia="方正仿宋_GBK" w:cs="宋体"/>
          <w:kern w:val="2"/>
          <w:sz w:val="28"/>
          <w:szCs w:val="28"/>
          <w:lang w:val="en-US" w:eastAsia="zh-CN" w:bidi="ar-SA"/>
        </w:rPr>
      </w:pPr>
      <w:r>
        <w:rPr>
          <w:rFonts w:hint="eastAsia" w:ascii="方正仿宋_GBK" w:hAnsi="宋体" w:eastAsia="方正仿宋_GBK" w:cs="宋体"/>
          <w:kern w:val="2"/>
          <w:sz w:val="28"/>
          <w:szCs w:val="28"/>
          <w:lang w:val="en-US" w:eastAsia="zh-CN" w:bidi="ar-SA"/>
        </w:rPr>
        <w:br w:type="page"/>
      </w:r>
      <w:bookmarkStart w:id="0" w:name="_GoBack"/>
      <w:bookmarkEnd w:id="0"/>
    </w:p>
    <w:p w14:paraId="6D6BF012">
      <w:pPr>
        <w:spacing w:line="360" w:lineRule="auto"/>
        <w:jc w:val="left"/>
        <w:outlineLvl w:val="1"/>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附件</w:t>
      </w:r>
    </w:p>
    <w:p w14:paraId="1F547DF8">
      <w:pPr>
        <w:spacing w:line="360" w:lineRule="auto"/>
        <w:jc w:val="center"/>
        <w:outlineLvl w:val="1"/>
        <w:rPr>
          <w:rFonts w:hint="eastAsia" w:ascii="宋体" w:hAnsi="宋体" w:eastAsia="宋体" w:cs="宋体"/>
          <w:b/>
          <w:sz w:val="21"/>
          <w:szCs w:val="21"/>
          <w:highlight w:val="none"/>
          <w:u w:val="none"/>
          <w:lang w:eastAsia="zh-CN"/>
        </w:rPr>
      </w:pPr>
      <w:r>
        <w:rPr>
          <w:rFonts w:hint="eastAsia" w:ascii="宋体" w:hAnsi="宋体" w:eastAsia="宋体" w:cs="宋体"/>
          <w:b/>
          <w:sz w:val="21"/>
          <w:szCs w:val="21"/>
          <w:highlight w:val="none"/>
          <w:u w:val="none"/>
          <w:lang w:eastAsia="zh-CN"/>
        </w:rPr>
        <w:t>餐饮业特别条款</w:t>
      </w:r>
    </w:p>
    <w:p w14:paraId="6D688456">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乙方不得在该房屋内使用</w:t>
      </w:r>
      <w:r>
        <w:rPr>
          <w:rFonts w:hint="eastAsia" w:ascii="宋体" w:hAnsi="宋体" w:eastAsia="宋体" w:cs="宋体"/>
          <w:sz w:val="21"/>
          <w:szCs w:val="21"/>
          <w:highlight w:val="none"/>
          <w:u w:val="none"/>
          <w:lang w:val="en-US" w:eastAsia="zh-CN"/>
        </w:rPr>
        <w:t>未经检验合格的</w:t>
      </w:r>
      <w:r>
        <w:rPr>
          <w:rFonts w:hint="eastAsia" w:ascii="宋体" w:hAnsi="宋体" w:eastAsia="宋体" w:cs="宋体"/>
          <w:sz w:val="21"/>
          <w:szCs w:val="21"/>
          <w:highlight w:val="none"/>
          <w:u w:val="none"/>
          <w:lang w:eastAsia="zh-CN"/>
        </w:rPr>
        <w:t>液化石油</w:t>
      </w:r>
      <w:r>
        <w:rPr>
          <w:rFonts w:hint="eastAsia" w:ascii="宋体" w:hAnsi="宋体" w:eastAsia="宋体" w:cs="宋体"/>
          <w:sz w:val="21"/>
          <w:szCs w:val="21"/>
          <w:highlight w:val="none"/>
          <w:u w:val="none"/>
          <w:lang w:val="en-US" w:eastAsia="zh-CN"/>
        </w:rPr>
        <w:t>罐</w:t>
      </w:r>
      <w:r>
        <w:rPr>
          <w:rFonts w:hint="eastAsia" w:ascii="宋体" w:hAnsi="宋体" w:eastAsia="宋体" w:cs="宋体"/>
          <w:sz w:val="21"/>
          <w:szCs w:val="21"/>
          <w:highlight w:val="none"/>
          <w:u w:val="none"/>
          <w:lang w:eastAsia="zh-CN"/>
        </w:rPr>
        <w:t>；</w:t>
      </w:r>
    </w:p>
    <w:p w14:paraId="786F49A5">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因清理该房屋内某种特殊种类的垃圾、废物而产生的额外费用须由乙方负担；</w:t>
      </w:r>
    </w:p>
    <w:p w14:paraId="6FBE5529">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乙方不得在该房屋内进行生产、制造、加工或储存任何货物或商品，但与乙方在该房屋内进行的餐饮业务活动有关的食品、饮料等货物或商品除外。</w:t>
      </w:r>
    </w:p>
    <w:p w14:paraId="44A70131">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必须于正式开张营业之前，根据法律、法规的有关规定自费从政府有关部门领得其根据本合同所列用途使用该房屋所需的一切执照、批准或许可证，包括但不限于从事餐饮行业所有必须的许可(包括但不限于卫生许可及有关环保的批准)。</w:t>
      </w:r>
    </w:p>
    <w:p w14:paraId="6F367153">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正式开张营业之前根据有关政府公共卫生部门及其他相关部门颁布的法规、规定自费在该房屋内安装下列厨房、烹饪设备及排水设施(如适用)，且该些设备、设施的款式及设计在安装之前须征得甲方的事先书面同意：</w:t>
      </w:r>
    </w:p>
    <w:p w14:paraId="7FBE6310">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水擦机；</w:t>
      </w:r>
    </w:p>
    <w:p w14:paraId="6CF64869">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油烟过滤网；</w:t>
      </w:r>
    </w:p>
    <w:p w14:paraId="033777A8">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碳水过滤器；</w:t>
      </w:r>
    </w:p>
    <w:p w14:paraId="19B776E4">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隔油箱；</w:t>
      </w:r>
    </w:p>
    <w:p w14:paraId="3C2C6B13">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中段隔油井；</w:t>
      </w:r>
    </w:p>
    <w:p w14:paraId="2134962E">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喷水折合篷；</w:t>
      </w:r>
    </w:p>
    <w:p w14:paraId="0FA6B3AB">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排风扇；</w:t>
      </w:r>
    </w:p>
    <w:p w14:paraId="2A1A1B50">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rPr>
      </w:pPr>
      <w:r>
        <w:rPr>
          <w:rFonts w:hint="eastAsia" w:ascii="宋体" w:hAnsi="宋体" w:eastAsia="宋体" w:cs="宋体"/>
          <w:sz w:val="21"/>
          <w:szCs w:val="21"/>
          <w:highlight w:val="none"/>
          <w:u w:val="none"/>
        </w:rPr>
        <w:t>泵及沟渠等排水设施；</w:t>
      </w:r>
    </w:p>
    <w:p w14:paraId="69EE06A2">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乙方专用的卫生间等卫生设施；</w:t>
      </w:r>
    </w:p>
    <w:p w14:paraId="6D2A69CE">
      <w:pPr>
        <w:widowControl w:val="0"/>
        <w:numPr>
          <w:ilvl w:val="0"/>
          <w:numId w:val="2"/>
        </w:numPr>
        <w:autoSpaceDE w:val="0"/>
        <w:autoSpaceDN w:val="0"/>
        <w:spacing w:line="360" w:lineRule="auto"/>
        <w:ind w:left="420" w:hangingChars="20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其他甲方要求安装的有关设备、设施。</w:t>
      </w:r>
    </w:p>
    <w:p w14:paraId="6CE5E843">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在租赁期内根据甲方的要求自费维修保养、更新替换、清洁在该房屋内由乙方安装的前述设备、设施，并使该等设备、设施在使用过程中一直处于甲方满意的清洁、畅通及可租用状态(合理损耗除外)。若甲方要求，乙方应向甲方提供任何有关该等设备、设施维修保养的合同或契约。若乙方未能按甲方的要求负责对该等设备、设施进行维修保养、更新替换、清洁，则甲方有权自行聘请其他专业人员提供该等服务，因此而产生的一切费用应由乙方承担。</w:t>
      </w:r>
    </w:p>
    <w:p w14:paraId="32A28AFC">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在租赁期内，乙方必须遵守及符合有关废气、</w:t>
      </w:r>
      <w:r>
        <w:rPr>
          <w:rFonts w:hint="eastAsia" w:ascii="宋体" w:hAnsi="宋体" w:eastAsia="宋体" w:cs="宋体"/>
          <w:sz w:val="21"/>
          <w:szCs w:val="21"/>
          <w:highlight w:val="none"/>
          <w:u w:val="none"/>
          <w:lang w:val="en-US" w:eastAsia="zh-CN"/>
        </w:rPr>
        <w:t>废水</w:t>
      </w:r>
      <w:r>
        <w:rPr>
          <w:rFonts w:hint="eastAsia" w:ascii="宋体" w:hAnsi="宋体" w:eastAsia="宋体" w:cs="宋体"/>
          <w:sz w:val="21"/>
          <w:szCs w:val="21"/>
          <w:highlight w:val="none"/>
          <w:u w:val="none"/>
          <w:lang w:eastAsia="zh-CN"/>
        </w:rPr>
        <w:t>排放、废物或污物处理的法律、法规或规章的规定以及有关政府主管部门(包括但不限于环保部门)颁布的条例、广泛性文件或命令的规定，并根据法律、法规的有关规定安装、设立或设置任何必须的设备或设施，承担因此而引起的一切费用、开支或税项，包括但不限于按时缴纳行政性费用或任何性质的罚款(如有)。</w:t>
      </w:r>
    </w:p>
    <w:p w14:paraId="4EFDB068">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无论任何原因，任何第三人直接或间接因乙方排放废气或因乙方产生的废物或污物遭受任何损失或受到任何伤害，乙方应承担由此而引起的一切法律责任及后果。乙方并保证其将不因此而向甲方提出任何索赔或要求甲方向乙方作出补偿，不会以此为由抵扣其根据本合同应向甲方支付的该房屋的租金、空调和物业管理费或其他任何款项。</w:t>
      </w:r>
    </w:p>
    <w:p w14:paraId="4EED735E">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若该等第三人因此而向甲方提出任何索赔，则甲方有权选择先向该等第三人作出赔偿，再要求乙方根据甲方的实际支出向甲方进行补偿或直接要求乙方对该等第三人的索赔作出补偿。同时，乙方保证甲方不会因此而遭受任何形式的损失，并在甲方因此而遭致任何损失时立即应甲方的要求照实赔偿。若甲方或/及物业管理公司直接或间接因乙方排放废气或因乙方产生的废物或污物遭受任何损失或受到任何伤害，乙方应照实向甲方或/及物业管理公司作出赔偿。</w:t>
      </w:r>
    </w:p>
    <w:p w14:paraId="004CBF6F">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highlight w:val="none"/>
          <w:u w:val="none"/>
          <w:lang w:eastAsia="zh-CN"/>
        </w:rPr>
      </w:pPr>
      <w:r>
        <w:rPr>
          <w:rFonts w:hint="eastAsia" w:ascii="宋体" w:hAnsi="宋体" w:eastAsia="宋体" w:cs="宋体"/>
          <w:sz w:val="21"/>
          <w:szCs w:val="21"/>
          <w:highlight w:val="none"/>
          <w:u w:val="none"/>
          <w:lang w:eastAsia="zh-CN"/>
        </w:rPr>
        <w:t>乙方须于该房屋内设立非吸烟区，并对该非吸烟区进行妥善管理。</w:t>
      </w:r>
    </w:p>
    <w:p w14:paraId="35490958">
      <w:pPr>
        <w:widowControl w:val="0"/>
        <w:numPr>
          <w:ilvl w:val="0"/>
          <w:numId w:val="1"/>
        </w:numPr>
        <w:autoSpaceDE w:val="0"/>
        <w:autoSpaceDN w:val="0"/>
        <w:spacing w:line="360" w:lineRule="auto"/>
        <w:ind w:left="0" w:leftChars="0" w:firstLine="0" w:firstLineChars="0"/>
        <w:jc w:val="both"/>
        <w:textAlignment w:val="bottom"/>
        <w:rPr>
          <w:rFonts w:hint="eastAsia" w:ascii="宋体" w:hAnsi="宋体" w:eastAsia="宋体" w:cs="宋体"/>
          <w:sz w:val="21"/>
          <w:szCs w:val="21"/>
          <w:lang w:val="en-US" w:eastAsia="zh-CN"/>
        </w:rPr>
      </w:pPr>
      <w:r>
        <w:rPr>
          <w:rFonts w:hint="eastAsia" w:ascii="宋体" w:hAnsi="宋体" w:eastAsia="宋体" w:cs="宋体"/>
          <w:sz w:val="21"/>
          <w:szCs w:val="21"/>
          <w:highlight w:val="none"/>
          <w:u w:val="none"/>
          <w:lang w:eastAsia="zh-CN"/>
        </w:rPr>
        <w:t>甲方在该项目内所提供的公共排废气漕、公共排油烟网须由甲方定期进行清洁，同时乙方应提供必要的方便以协助进行，因此而产生的相关费用由该项目内使用公共排废气漕、公共排油烟网的租客总数按比例分摊。</w:t>
      </w:r>
    </w:p>
    <w:p w14:paraId="28DBF85B">
      <w:pPr>
        <w:widowControl w:val="0"/>
        <w:numPr>
          <w:ilvl w:val="0"/>
          <w:numId w:val="1"/>
        </w:numPr>
        <w:autoSpaceDE w:val="0"/>
        <w:autoSpaceDN w:val="0"/>
        <w:spacing w:line="360" w:lineRule="auto"/>
        <w:ind w:left="0" w:leftChars="0" w:firstLine="0" w:firstLineChars="0"/>
        <w:jc w:val="both"/>
        <w:textAlignment w:val="bottom"/>
        <w:rPr>
          <w:rFonts w:hint="eastAsia"/>
          <w:lang w:val="en-US" w:eastAsia="zh-CN"/>
        </w:rPr>
      </w:pPr>
      <w:r>
        <w:rPr>
          <w:rFonts w:hint="eastAsia" w:ascii="宋体" w:hAnsi="宋体" w:eastAsia="宋体" w:cs="宋体"/>
          <w:sz w:val="21"/>
          <w:szCs w:val="21"/>
          <w:highlight w:val="none"/>
          <w:u w:val="none"/>
          <w:lang w:eastAsia="zh-CN"/>
        </w:rPr>
        <w:t>乙方应对经营产生的生产垃圾及油污物品按国家法定规定进行处理。</w:t>
      </w:r>
    </w:p>
    <w:p w14:paraId="71599A33">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pPr>
        <w:tabs>
          <w:tab w:val="left" w:pos="312"/>
        </w:tabs>
      </w:pPr>
      <w:rPr>
        <w:rFonts w:hint="default"/>
      </w:rPr>
    </w:lvl>
  </w:abstractNum>
  <w:abstractNum w:abstractNumId="1">
    <w:nsid w:val="00000001"/>
    <w:multiLevelType w:val="multilevel"/>
    <w:tmpl w:val="00000001"/>
    <w:lvl w:ilvl="0" w:tentative="0">
      <w:start w:val="1"/>
      <w:numFmt w:val="bullet"/>
      <w:lvlText w:val=""/>
      <w:lvlJc w:val="left"/>
      <w:pPr>
        <w:ind w:left="1271" w:hanging="420"/>
      </w:pPr>
      <w:rPr>
        <w:rFonts w:hint="default" w:ascii="Wingdings" w:hAnsi="Wingdings"/>
      </w:rPr>
    </w:lvl>
    <w:lvl w:ilvl="1" w:tentative="0">
      <w:start w:val="1"/>
      <w:numFmt w:val="bullet"/>
      <w:lvlText w:val=""/>
      <w:lvlJc w:val="left"/>
      <w:pPr>
        <w:ind w:left="1691" w:hanging="420"/>
      </w:pPr>
      <w:rPr>
        <w:rFonts w:hint="default" w:ascii="Wingdings" w:hAnsi="Wingdings"/>
      </w:rPr>
    </w:lvl>
    <w:lvl w:ilvl="2" w:tentative="0">
      <w:start w:val="1"/>
      <w:numFmt w:val="bullet"/>
      <w:lvlText w:val=""/>
      <w:lvlJc w:val="left"/>
      <w:pPr>
        <w:ind w:left="2111" w:hanging="420"/>
      </w:pPr>
      <w:rPr>
        <w:rFonts w:hint="default" w:ascii="Wingdings" w:hAnsi="Wingdings"/>
      </w:rPr>
    </w:lvl>
    <w:lvl w:ilvl="3" w:tentative="0">
      <w:start w:val="1"/>
      <w:numFmt w:val="bullet"/>
      <w:lvlText w:val=""/>
      <w:lvlJc w:val="left"/>
      <w:pPr>
        <w:ind w:left="2531" w:hanging="420"/>
      </w:pPr>
      <w:rPr>
        <w:rFonts w:hint="default" w:ascii="Wingdings" w:hAnsi="Wingdings"/>
      </w:rPr>
    </w:lvl>
    <w:lvl w:ilvl="4" w:tentative="0">
      <w:start w:val="1"/>
      <w:numFmt w:val="bullet"/>
      <w:lvlText w:val=""/>
      <w:lvlJc w:val="left"/>
      <w:pPr>
        <w:ind w:left="2951" w:hanging="420"/>
      </w:pPr>
      <w:rPr>
        <w:rFonts w:hint="default" w:ascii="Wingdings" w:hAnsi="Wingdings"/>
      </w:rPr>
    </w:lvl>
    <w:lvl w:ilvl="5" w:tentative="0">
      <w:start w:val="1"/>
      <w:numFmt w:val="bullet"/>
      <w:lvlText w:val=""/>
      <w:lvlJc w:val="left"/>
      <w:pPr>
        <w:ind w:left="3371" w:hanging="420"/>
      </w:pPr>
      <w:rPr>
        <w:rFonts w:hint="default" w:ascii="Wingdings" w:hAnsi="Wingdings"/>
      </w:rPr>
    </w:lvl>
    <w:lvl w:ilvl="6" w:tentative="0">
      <w:start w:val="1"/>
      <w:numFmt w:val="bullet"/>
      <w:lvlText w:val=""/>
      <w:lvlJc w:val="left"/>
      <w:pPr>
        <w:ind w:left="3791" w:hanging="420"/>
      </w:pPr>
      <w:rPr>
        <w:rFonts w:hint="default" w:ascii="Wingdings" w:hAnsi="Wingdings"/>
      </w:rPr>
    </w:lvl>
    <w:lvl w:ilvl="7" w:tentative="0">
      <w:start w:val="1"/>
      <w:numFmt w:val="bullet"/>
      <w:lvlText w:val=""/>
      <w:lvlJc w:val="left"/>
      <w:pPr>
        <w:ind w:left="4211" w:hanging="420"/>
      </w:pPr>
      <w:rPr>
        <w:rFonts w:hint="default" w:ascii="Wingdings" w:hAnsi="Wingdings"/>
      </w:rPr>
    </w:lvl>
    <w:lvl w:ilvl="8" w:tentative="0">
      <w:start w:val="1"/>
      <w:numFmt w:val="bullet"/>
      <w:lvlText w:val=""/>
      <w:lvlJc w:val="left"/>
      <w:pPr>
        <w:ind w:left="4631"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YzJhNjI1MGYzM2EwNTk4MzViYjU2NjQwMzgzOTQifQ=="/>
  </w:docVars>
  <w:rsids>
    <w:rsidRoot w:val="490F12FA"/>
    <w:rsid w:val="00CC5F6D"/>
    <w:rsid w:val="0148331E"/>
    <w:rsid w:val="03B15E78"/>
    <w:rsid w:val="05B74844"/>
    <w:rsid w:val="063D5484"/>
    <w:rsid w:val="08BF45EF"/>
    <w:rsid w:val="0CB638D2"/>
    <w:rsid w:val="0DA03559"/>
    <w:rsid w:val="0F3120A4"/>
    <w:rsid w:val="0F515C7A"/>
    <w:rsid w:val="11010204"/>
    <w:rsid w:val="15206057"/>
    <w:rsid w:val="16F15D80"/>
    <w:rsid w:val="196B6877"/>
    <w:rsid w:val="21123725"/>
    <w:rsid w:val="23A052D4"/>
    <w:rsid w:val="245855C1"/>
    <w:rsid w:val="26CC0833"/>
    <w:rsid w:val="29B2460D"/>
    <w:rsid w:val="2E5C319C"/>
    <w:rsid w:val="300B7231"/>
    <w:rsid w:val="31405E24"/>
    <w:rsid w:val="31A71944"/>
    <w:rsid w:val="335B660F"/>
    <w:rsid w:val="337A0AE4"/>
    <w:rsid w:val="35404F20"/>
    <w:rsid w:val="35707690"/>
    <w:rsid w:val="36BA4868"/>
    <w:rsid w:val="38026342"/>
    <w:rsid w:val="3C096C5A"/>
    <w:rsid w:val="3C18719C"/>
    <w:rsid w:val="3C2F250B"/>
    <w:rsid w:val="3F5A1E64"/>
    <w:rsid w:val="3FA079A3"/>
    <w:rsid w:val="41693260"/>
    <w:rsid w:val="42CC38E1"/>
    <w:rsid w:val="43EA6674"/>
    <w:rsid w:val="445F2A5A"/>
    <w:rsid w:val="45FC3E48"/>
    <w:rsid w:val="47E17FD1"/>
    <w:rsid w:val="490F12FA"/>
    <w:rsid w:val="4B204047"/>
    <w:rsid w:val="4BEF7706"/>
    <w:rsid w:val="4D995F58"/>
    <w:rsid w:val="4DC00D96"/>
    <w:rsid w:val="4E7360DF"/>
    <w:rsid w:val="54283D67"/>
    <w:rsid w:val="55D90FC4"/>
    <w:rsid w:val="586C646E"/>
    <w:rsid w:val="5A8A0D9C"/>
    <w:rsid w:val="5ED848DB"/>
    <w:rsid w:val="62017964"/>
    <w:rsid w:val="649966D5"/>
    <w:rsid w:val="67813B5D"/>
    <w:rsid w:val="6913748F"/>
    <w:rsid w:val="69877444"/>
    <w:rsid w:val="6A98082B"/>
    <w:rsid w:val="6F09478E"/>
    <w:rsid w:val="72717DBB"/>
    <w:rsid w:val="7AE3642C"/>
    <w:rsid w:val="7B157666"/>
    <w:rsid w:val="7BE94428"/>
    <w:rsid w:val="7F854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2172</Words>
  <Characters>2240</Characters>
  <Lines>0</Lines>
  <Paragraphs>0</Paragraphs>
  <TotalTime>0</TotalTime>
  <ScaleCrop>false</ScaleCrop>
  <LinksUpToDate>false</LinksUpToDate>
  <CharactersWithSpaces>2342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2022-05-18T05:30:00Z</dcterms:created>
  <dc:creator>Administrator</dc:creator>
  <cp:lastModifiedBy>Liuqi</cp:lastModifiedBy>
  <dcterms:modified xsi:type="dcterms:W3CDTF">2024-10-18T00:57:01Z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979070783F484CF5BE1AA70E9DEC2697_13</vt:lpwstr>
  </property>
</Properties>
</file>