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可再利用铝电缆（约2.2吨）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可再利用砂轮（约85吨）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可再利用砂带（约4吨）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可再利用枕木（约25吨）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废电极（约73吨）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9月26日-27日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lang w:val="en-US" w:eastAsia="zh-CN"/>
        </w:rPr>
        <w:t>合同期限：中标后一周时间</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hint="default"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可再利用枕木  废旧物资回收、销售</w:t>
      </w:r>
    </w:p>
    <w:p>
      <w:pPr>
        <w:pStyle w:val="10"/>
        <w:numPr>
          <w:ilvl w:val="0"/>
          <w:numId w:val="0"/>
        </w:num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可再利用铝电缆   废旧金属回收、销售</w:t>
      </w:r>
    </w:p>
    <w:p>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可再利用</w:t>
      </w:r>
      <w:r>
        <w:rPr>
          <w:rFonts w:hint="eastAsia" w:ascii="仿宋" w:hAnsi="仿宋" w:eastAsia="仿宋"/>
          <w:sz w:val="28"/>
          <w:szCs w:val="28"/>
        </w:rPr>
        <w:t xml:space="preserve">砂轮：具有废砂轮利用能力的单位 </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贸易商必须是公司环保部、加工厂审核通过的捆绑式客户</w:t>
      </w:r>
    </w:p>
    <w:p>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可再利用</w:t>
      </w:r>
      <w:r>
        <w:rPr>
          <w:rFonts w:hint="eastAsia" w:ascii="仿宋" w:hAnsi="仿宋" w:eastAsia="仿宋"/>
          <w:sz w:val="28"/>
          <w:szCs w:val="28"/>
        </w:rPr>
        <w:t xml:space="preserve">砂带：具有废砂轮利用能力的单位 </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贸易商必须是公司环保部、加工厂审核通过的捆绑式客户</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废电极    </w:t>
      </w:r>
      <w:r>
        <w:rPr>
          <w:rFonts w:hint="eastAsia" w:ascii="仿宋" w:hAnsi="仿宋" w:eastAsia="仿宋"/>
          <w:sz w:val="28"/>
          <w:szCs w:val="28"/>
        </w:rPr>
        <w:t>石墨制品加工、销售</w:t>
      </w:r>
      <w:r>
        <w:rPr>
          <w:rFonts w:ascii="仿宋" w:hAnsi="仿宋" w:eastAsia="仿宋"/>
          <w:sz w:val="28"/>
          <w:szCs w:val="28"/>
        </w:rPr>
        <w:t xml:space="preserve">  </w:t>
      </w:r>
    </w:p>
    <w:p>
      <w:pPr>
        <w:pStyle w:val="10"/>
        <w:numPr>
          <w:ilvl w:val="0"/>
          <w:numId w:val="0"/>
        </w:num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竞标结果经太钢加工厂审批同意后，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279" w:leftChars="133" w:firstLine="280" w:firstLineChars="100"/>
        <w:rPr>
          <w:rFonts w:hint="eastAsia" w:ascii="仿宋" w:hAnsi="仿宋" w:eastAsia="仿宋"/>
          <w:b/>
          <w:bCs/>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 xml:space="preserve"> 5</w:t>
      </w:r>
      <w:r>
        <w:rPr>
          <w:rFonts w:ascii="仿宋" w:hAnsi="仿宋" w:eastAsia="仿宋" w:cs="Times New Roman"/>
          <w:kern w:val="2"/>
          <w:sz w:val="28"/>
          <w:szCs w:val="28"/>
        </w:rPr>
        <w:t>、其它有关规定详见欧冶循环宝发布的《竞价交易规则》。</w:t>
      </w:r>
    </w:p>
    <w:p>
      <w:pPr>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ind w:firstLine="560" w:firstLineChars="200"/>
        <w:rPr>
          <w:rFonts w:hint="eastAsia" w:ascii="仿宋" w:hAnsi="仿宋" w:eastAsia="仿宋" w:cs="仿宋"/>
          <w:b w:val="0"/>
          <w:bCs w:val="0"/>
          <w:i w:val="0"/>
          <w:iCs w:val="0"/>
          <w:caps w:val="0"/>
          <w:color w:val="000000"/>
          <w:spacing w:val="0"/>
          <w:sz w:val="28"/>
          <w:szCs w:val="28"/>
          <w:shd w:val="clear" w:fill="FFFFFF"/>
        </w:rPr>
      </w:pPr>
      <w:bookmarkStart w:id="0" w:name="_GoBack"/>
      <w:bookmarkEnd w:id="0"/>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b/>
          <w:sz w:val="32"/>
          <w:szCs w:val="32"/>
        </w:rPr>
      </w:pPr>
      <w:r>
        <w:rPr>
          <w:rFonts w:hint="eastAsia"/>
          <w:b/>
          <w:sz w:val="32"/>
          <w:szCs w:val="32"/>
        </w:rPr>
        <w:t>所有参加竞价单位：</w:t>
      </w:r>
    </w:p>
    <w:p>
      <w:pPr>
        <w:rPr>
          <w:b/>
          <w:sz w:val="32"/>
          <w:szCs w:val="32"/>
        </w:rPr>
      </w:pPr>
    </w:p>
    <w:p>
      <w:pPr>
        <w:ind w:firstLine="560" w:firstLineChars="200"/>
        <w:rPr>
          <w:sz w:val="28"/>
          <w:szCs w:val="28"/>
        </w:rPr>
      </w:pPr>
      <w:r>
        <w:rPr>
          <w:rFonts w:hint="eastAsia"/>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sz w:val="28"/>
          <w:szCs w:val="28"/>
        </w:rPr>
      </w:pPr>
      <w:r>
        <w:rPr>
          <w:rFonts w:hint="eastAsia"/>
          <w:sz w:val="28"/>
          <w:szCs w:val="28"/>
        </w:rPr>
        <w:t>具体要求见附件。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r>
        <w:rPr>
          <w:rFonts w:hint="eastAsia"/>
          <w:sz w:val="28"/>
          <w:szCs w:val="28"/>
        </w:rPr>
        <w:t xml:space="preserve">                                    </w:t>
      </w:r>
    </w:p>
    <w:p>
      <w:pPr>
        <w:spacing w:line="360" w:lineRule="auto"/>
        <w:rPr>
          <w:rFonts w:hint="default" w:ascii="仿宋" w:hAnsi="仿宋" w:eastAsia="仿宋" w:cs="仿宋"/>
          <w:b w:val="0"/>
          <w:bCs w:val="0"/>
          <w:i w:val="0"/>
          <w:iCs w:val="0"/>
          <w:caps w:val="0"/>
          <w:color w:val="000000"/>
          <w:spacing w:val="0"/>
          <w:sz w:val="28"/>
          <w:szCs w:val="28"/>
          <w:shd w:val="clear" w:fill="FFFFFF"/>
          <w:lang w:val="en-US" w:eastAsia="zh-CN"/>
        </w:rPr>
      </w:pP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3BE9"/>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18F436E"/>
    <w:rsid w:val="02464E0C"/>
    <w:rsid w:val="0329579E"/>
    <w:rsid w:val="0553000C"/>
    <w:rsid w:val="055B3C91"/>
    <w:rsid w:val="060F355B"/>
    <w:rsid w:val="064660DC"/>
    <w:rsid w:val="06C64B6D"/>
    <w:rsid w:val="085627C9"/>
    <w:rsid w:val="09702CA9"/>
    <w:rsid w:val="0975309C"/>
    <w:rsid w:val="09EA08FC"/>
    <w:rsid w:val="0A9C7CD9"/>
    <w:rsid w:val="0C6F1E0D"/>
    <w:rsid w:val="0DB013ED"/>
    <w:rsid w:val="0E4B144E"/>
    <w:rsid w:val="0FCB3577"/>
    <w:rsid w:val="0FDA423D"/>
    <w:rsid w:val="10C373FD"/>
    <w:rsid w:val="1115769E"/>
    <w:rsid w:val="112A68C8"/>
    <w:rsid w:val="118910B0"/>
    <w:rsid w:val="134B340C"/>
    <w:rsid w:val="136E3242"/>
    <w:rsid w:val="143E4BB5"/>
    <w:rsid w:val="14C33176"/>
    <w:rsid w:val="14DC58A7"/>
    <w:rsid w:val="15FC3B78"/>
    <w:rsid w:val="163F1EDF"/>
    <w:rsid w:val="166F73A0"/>
    <w:rsid w:val="16A30E59"/>
    <w:rsid w:val="179C6CCA"/>
    <w:rsid w:val="17BB7A38"/>
    <w:rsid w:val="1A5C0DCD"/>
    <w:rsid w:val="1AC90C71"/>
    <w:rsid w:val="1C3A4A5D"/>
    <w:rsid w:val="1D3C2761"/>
    <w:rsid w:val="1DB33EE9"/>
    <w:rsid w:val="1E502E70"/>
    <w:rsid w:val="1EAA5FC0"/>
    <w:rsid w:val="1EEA5836"/>
    <w:rsid w:val="1FFA6507"/>
    <w:rsid w:val="20B7094A"/>
    <w:rsid w:val="210324B5"/>
    <w:rsid w:val="226F4F7F"/>
    <w:rsid w:val="229044B3"/>
    <w:rsid w:val="2643758D"/>
    <w:rsid w:val="26F8070B"/>
    <w:rsid w:val="27501B9A"/>
    <w:rsid w:val="283E5516"/>
    <w:rsid w:val="289C37F0"/>
    <w:rsid w:val="2B4C7596"/>
    <w:rsid w:val="2C3A399C"/>
    <w:rsid w:val="2C8539DD"/>
    <w:rsid w:val="2D015D6A"/>
    <w:rsid w:val="2E472F2C"/>
    <w:rsid w:val="2ECD05D1"/>
    <w:rsid w:val="2F305B0F"/>
    <w:rsid w:val="301B3F78"/>
    <w:rsid w:val="307A4C95"/>
    <w:rsid w:val="30806B9E"/>
    <w:rsid w:val="30C27CF8"/>
    <w:rsid w:val="30FB1787"/>
    <w:rsid w:val="31514CF8"/>
    <w:rsid w:val="323B7694"/>
    <w:rsid w:val="36955A56"/>
    <w:rsid w:val="37C51B4B"/>
    <w:rsid w:val="3B5A270F"/>
    <w:rsid w:val="3C4828AC"/>
    <w:rsid w:val="3F2F1936"/>
    <w:rsid w:val="3FB41253"/>
    <w:rsid w:val="430F54F9"/>
    <w:rsid w:val="43A66FFA"/>
    <w:rsid w:val="44473C12"/>
    <w:rsid w:val="45447737"/>
    <w:rsid w:val="45BB5CCB"/>
    <w:rsid w:val="4654322F"/>
    <w:rsid w:val="47C839F7"/>
    <w:rsid w:val="47D52427"/>
    <w:rsid w:val="496127C3"/>
    <w:rsid w:val="4A701E8D"/>
    <w:rsid w:val="4B0C130D"/>
    <w:rsid w:val="4B7E2C5A"/>
    <w:rsid w:val="4C5534FA"/>
    <w:rsid w:val="4D8A1903"/>
    <w:rsid w:val="4E1E4560"/>
    <w:rsid w:val="515C1D18"/>
    <w:rsid w:val="523F5B75"/>
    <w:rsid w:val="532C5AC8"/>
    <w:rsid w:val="53A15444"/>
    <w:rsid w:val="53D37B83"/>
    <w:rsid w:val="546126FE"/>
    <w:rsid w:val="55BC1C5A"/>
    <w:rsid w:val="56C17BD1"/>
    <w:rsid w:val="582852B6"/>
    <w:rsid w:val="587D30A7"/>
    <w:rsid w:val="59D022E8"/>
    <w:rsid w:val="5ABD0B32"/>
    <w:rsid w:val="5BA165BD"/>
    <w:rsid w:val="5CD90661"/>
    <w:rsid w:val="5E486325"/>
    <w:rsid w:val="5F6064D4"/>
    <w:rsid w:val="62A24F69"/>
    <w:rsid w:val="64661604"/>
    <w:rsid w:val="64704D08"/>
    <w:rsid w:val="64D8526B"/>
    <w:rsid w:val="65125A9A"/>
    <w:rsid w:val="65C75D9C"/>
    <w:rsid w:val="66DF692A"/>
    <w:rsid w:val="673A6416"/>
    <w:rsid w:val="690B43A6"/>
    <w:rsid w:val="69503956"/>
    <w:rsid w:val="69AA1187"/>
    <w:rsid w:val="6A1C2F43"/>
    <w:rsid w:val="6B6133DA"/>
    <w:rsid w:val="6BD66D73"/>
    <w:rsid w:val="6D1565C6"/>
    <w:rsid w:val="6DD201DB"/>
    <w:rsid w:val="71DF025C"/>
    <w:rsid w:val="74D33D47"/>
    <w:rsid w:val="752D56A0"/>
    <w:rsid w:val="75905471"/>
    <w:rsid w:val="759B336B"/>
    <w:rsid w:val="75FC3781"/>
    <w:rsid w:val="764D047F"/>
    <w:rsid w:val="77856526"/>
    <w:rsid w:val="77BB3917"/>
    <w:rsid w:val="77DA3234"/>
    <w:rsid w:val="77E014C5"/>
    <w:rsid w:val="785364EC"/>
    <w:rsid w:val="78F073FB"/>
    <w:rsid w:val="79C07230"/>
    <w:rsid w:val="7CD708A7"/>
    <w:rsid w:val="7D333D2B"/>
    <w:rsid w:val="7D6E6D05"/>
    <w:rsid w:val="7D840B3C"/>
    <w:rsid w:val="7D896705"/>
    <w:rsid w:val="7DD177D0"/>
    <w:rsid w:val="7E353761"/>
    <w:rsid w:val="7EDB59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0</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2024-09-23T03:11:04Z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10190B4324FD40F2B844380E0B385B80</vt:lpwstr>
  </property>
</Properties>
</file>