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看货公告</w:t>
      </w:r>
    </w:p>
    <w:p>
      <w:pPr>
        <w:jc w:val="both"/>
        <w:rPr>
          <w:rFonts w:hint="eastAsia" w:ascii="宋体" w:hAnsi="宋体" w:eastAsia="宋体" w:cs="宋体"/>
          <w:sz w:val="22"/>
          <w:szCs w:val="28"/>
        </w:rPr>
      </w:pPr>
      <w:r>
        <w:rPr>
          <w:rFonts w:hint="eastAsia" w:ascii="宋体" w:hAnsi="宋体" w:eastAsia="宋体" w:cs="宋体"/>
          <w:sz w:val="22"/>
          <w:szCs w:val="28"/>
        </w:rPr>
        <w:t>=========================================================================</w:t>
      </w:r>
    </w:p>
    <w:p>
      <w:pPr>
        <w:jc w:val="both"/>
        <w:rPr>
          <w:rFonts w:hint="eastAsia" w:ascii="宋体" w:hAnsi="宋体" w:eastAsia="宋体" w:cs="宋体"/>
          <w:sz w:val="22"/>
          <w:szCs w:val="28"/>
        </w:rPr>
      </w:pPr>
      <w:r>
        <w:rPr>
          <w:rFonts w:hint="eastAsia" w:ascii="宋体" w:hAnsi="宋体" w:eastAsia="宋体" w:cs="宋体"/>
          <w:sz w:val="22"/>
          <w:szCs w:val="28"/>
        </w:rPr>
        <w:t>1、表中所涉型号规格、材质成份以现场看货为准。有意者须到现场看货。表中涉及的规格、材质和成分以现场的实物为准。此表不作合同依据。</w:t>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p>
    <w:p>
      <w:pPr>
        <w:jc w:val="both"/>
        <w:rPr>
          <w:rFonts w:hint="eastAsia" w:ascii="宋体" w:hAnsi="宋体" w:eastAsia="宋体" w:cs="宋体"/>
          <w:sz w:val="22"/>
          <w:szCs w:val="28"/>
        </w:rPr>
      </w:pPr>
      <w:r>
        <w:rPr>
          <w:rFonts w:hint="eastAsia" w:ascii="宋体" w:hAnsi="宋体" w:eastAsia="宋体" w:cs="宋体"/>
          <w:sz w:val="22"/>
          <w:szCs w:val="28"/>
        </w:rPr>
        <w:t>2、表中数量为估算量，中标结算以实际计量为准。</w:t>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p>
    <w:p>
      <w:pPr>
        <w:jc w:val="both"/>
        <w:rPr>
          <w:rFonts w:hint="eastAsia" w:ascii="宋体" w:hAnsi="宋体" w:eastAsia="宋体" w:cs="宋体"/>
          <w:sz w:val="22"/>
          <w:szCs w:val="28"/>
        </w:rPr>
      </w:pPr>
      <w:r>
        <w:rPr>
          <w:rFonts w:hint="eastAsia" w:ascii="宋体" w:hAnsi="宋体" w:eastAsia="宋体" w:cs="宋体"/>
          <w:sz w:val="22"/>
          <w:szCs w:val="28"/>
        </w:rPr>
        <w:t>3、中标单位必须在三个工作日内签订合同，付清全部货款，逾期视为违约。</w:t>
      </w:r>
      <w:r>
        <w:rPr>
          <w:rFonts w:hint="eastAsia" w:ascii="宋体" w:hAnsi="宋体" w:eastAsia="宋体" w:cs="宋体"/>
          <w:sz w:val="22"/>
          <w:szCs w:val="28"/>
        </w:rPr>
        <w:tab/>
      </w:r>
      <w:r>
        <w:rPr>
          <w:rFonts w:hint="eastAsia" w:ascii="宋体" w:hAnsi="宋体" w:eastAsia="宋体" w:cs="宋体"/>
          <w:sz w:val="22"/>
          <w:szCs w:val="28"/>
        </w:rPr>
        <w:tab/>
      </w:r>
    </w:p>
    <w:p>
      <w:pPr>
        <w:jc w:val="both"/>
        <w:rPr>
          <w:rFonts w:hint="eastAsia" w:ascii="宋体" w:hAnsi="宋体" w:eastAsia="宋体" w:cs="宋体"/>
          <w:sz w:val="22"/>
          <w:szCs w:val="28"/>
        </w:rPr>
      </w:pPr>
      <w:r>
        <w:rPr>
          <w:rFonts w:hint="eastAsia" w:ascii="宋体" w:hAnsi="宋体" w:eastAsia="宋体" w:cs="宋体"/>
          <w:sz w:val="22"/>
          <w:szCs w:val="28"/>
        </w:rPr>
        <w:t>4、标的物提货过程中所产生的人工、装运等一切费用及设备，由</w:t>
      </w:r>
      <w:r>
        <w:rPr>
          <w:rFonts w:hint="eastAsia" w:ascii="宋体" w:hAnsi="宋体" w:cs="宋体"/>
          <w:sz w:val="22"/>
          <w:szCs w:val="28"/>
          <w:lang w:eastAsia="zh-CN"/>
        </w:rPr>
        <w:t>中标</w:t>
      </w:r>
      <w:r>
        <w:rPr>
          <w:rFonts w:hint="eastAsia" w:ascii="宋体" w:hAnsi="宋体" w:eastAsia="宋体" w:cs="宋体"/>
          <w:sz w:val="22"/>
          <w:szCs w:val="28"/>
        </w:rPr>
        <w:t>单位承担。</w:t>
      </w:r>
    </w:p>
    <w:p>
      <w:pPr>
        <w:jc w:val="both"/>
        <w:rPr>
          <w:rFonts w:hint="eastAsia" w:ascii="宋体" w:hAnsi="宋体" w:eastAsia="宋体" w:cs="宋体"/>
          <w:sz w:val="22"/>
          <w:szCs w:val="28"/>
        </w:rPr>
      </w:pPr>
      <w:r>
        <w:rPr>
          <w:rFonts w:hint="eastAsia" w:ascii="宋体" w:hAnsi="宋体" w:eastAsia="宋体" w:cs="宋体"/>
          <w:sz w:val="22"/>
          <w:szCs w:val="28"/>
        </w:rPr>
        <w:t>5、</w:t>
      </w:r>
      <w:r>
        <w:rPr>
          <w:rFonts w:hint="eastAsia" w:ascii="宋体" w:hAnsi="宋体" w:cs="宋体"/>
          <w:sz w:val="22"/>
          <w:szCs w:val="28"/>
          <w:lang w:eastAsia="zh-CN"/>
        </w:rPr>
        <w:t>中标</w:t>
      </w:r>
      <w:r>
        <w:rPr>
          <w:rFonts w:hint="eastAsia" w:ascii="宋体" w:hAnsi="宋体" w:eastAsia="宋体" w:cs="宋体"/>
          <w:sz w:val="22"/>
          <w:szCs w:val="28"/>
        </w:rPr>
        <w:t>单位入厂人员，需遵守我司的各项规章制度。</w:t>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p>
    <w:p>
      <w:pPr>
        <w:jc w:val="both"/>
        <w:rPr>
          <w:rFonts w:hint="eastAsia" w:ascii="宋体" w:hAnsi="宋体" w:eastAsia="宋体" w:cs="宋体"/>
          <w:sz w:val="22"/>
          <w:szCs w:val="28"/>
          <w:lang w:eastAsia="zh-CN"/>
        </w:rPr>
      </w:pPr>
      <w:r>
        <w:rPr>
          <w:rFonts w:hint="eastAsia" w:ascii="宋体" w:hAnsi="宋体" w:eastAsia="宋体" w:cs="宋体"/>
          <w:sz w:val="22"/>
          <w:szCs w:val="28"/>
        </w:rPr>
        <w:t>6、提货时间：中标三日内，以我司通知为准；</w:t>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p>
    <w:p>
      <w:pPr>
        <w:jc w:val="both"/>
        <w:rPr>
          <w:rFonts w:hint="eastAsia" w:ascii="宋体" w:hAnsi="宋体" w:eastAsia="宋体" w:cs="宋体"/>
          <w:sz w:val="22"/>
          <w:szCs w:val="28"/>
        </w:rPr>
      </w:pPr>
      <w:r>
        <w:rPr>
          <w:rFonts w:hint="eastAsia" w:ascii="宋体" w:hAnsi="宋体" w:eastAsia="宋体" w:cs="宋体"/>
          <w:sz w:val="22"/>
          <w:szCs w:val="28"/>
        </w:rPr>
        <w:t>7、</w:t>
      </w:r>
      <w:r>
        <w:rPr>
          <w:rFonts w:hint="eastAsia" w:ascii="宋体" w:hAnsi="宋体" w:cs="宋体"/>
          <w:sz w:val="22"/>
          <w:szCs w:val="28"/>
          <w:u w:val="single"/>
          <w:lang w:eastAsia="zh-CN"/>
        </w:rPr>
        <w:t>报名看货客户须提前一天将进厂看货人员身份证正反面复印件并在空白处写上联系电话加盖公章后扫描或拍照发送至销售微信号：13509938329，发送后请及时联系13509938329确认。（注：1、看货时凭身份证进厂；2、同一家公司只允许最多报2名看货人员；3、进厂看货客户须提前一天报名，不受理当天报名。）</w:t>
      </w:r>
      <w:r>
        <w:rPr>
          <w:rFonts w:hint="eastAsia" w:ascii="宋体" w:hAnsi="宋体" w:eastAsia="宋体" w:cs="宋体"/>
          <w:sz w:val="22"/>
          <w:szCs w:val="28"/>
        </w:rPr>
        <w:t xml:space="preserve"> </w:t>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p>
    <w:p>
      <w:pPr>
        <w:jc w:val="both"/>
        <w:rPr>
          <w:rFonts w:hint="eastAsia" w:ascii="宋体" w:hAnsi="宋体" w:eastAsia="宋体" w:cs="宋体"/>
          <w:sz w:val="22"/>
          <w:szCs w:val="28"/>
        </w:rPr>
      </w:pPr>
      <w:r>
        <w:rPr>
          <w:rFonts w:hint="eastAsia" w:ascii="宋体" w:hAnsi="宋体" w:eastAsia="宋体" w:cs="宋体"/>
          <w:sz w:val="22"/>
          <w:szCs w:val="28"/>
        </w:rPr>
        <w:t>8、统一看货时间：202</w:t>
      </w:r>
      <w:r>
        <w:rPr>
          <w:rFonts w:hint="eastAsia" w:ascii="宋体" w:hAnsi="宋体" w:cs="宋体"/>
          <w:sz w:val="22"/>
          <w:szCs w:val="28"/>
          <w:lang w:val="en-US" w:eastAsia="zh-CN"/>
        </w:rPr>
        <w:t>4</w:t>
      </w:r>
      <w:r>
        <w:rPr>
          <w:rFonts w:hint="eastAsia" w:ascii="宋体" w:hAnsi="宋体" w:eastAsia="宋体" w:cs="宋体"/>
          <w:sz w:val="22"/>
          <w:szCs w:val="28"/>
        </w:rPr>
        <w:t>年</w:t>
      </w:r>
      <w:r>
        <w:rPr>
          <w:rFonts w:hint="eastAsia" w:ascii="宋体" w:hAnsi="宋体" w:cs="宋体"/>
          <w:sz w:val="22"/>
          <w:szCs w:val="28"/>
          <w:lang w:val="en-US" w:eastAsia="zh-CN"/>
        </w:rPr>
        <w:t>2</w:t>
      </w:r>
      <w:r>
        <w:rPr>
          <w:rFonts w:hint="eastAsia" w:ascii="宋体" w:hAnsi="宋体" w:eastAsia="宋体" w:cs="宋体"/>
          <w:sz w:val="22"/>
          <w:szCs w:val="28"/>
        </w:rPr>
        <w:t>月</w:t>
      </w:r>
      <w:r>
        <w:rPr>
          <w:rFonts w:hint="eastAsia" w:ascii="宋体" w:hAnsi="宋体" w:cs="宋体"/>
          <w:sz w:val="22"/>
          <w:szCs w:val="28"/>
          <w:lang w:val="en-US" w:eastAsia="zh-CN"/>
        </w:rPr>
        <w:t>19</w:t>
      </w:r>
      <w:r>
        <w:rPr>
          <w:rFonts w:hint="eastAsia" w:ascii="宋体" w:hAnsi="宋体" w:eastAsia="宋体" w:cs="宋体"/>
          <w:sz w:val="22"/>
          <w:szCs w:val="28"/>
        </w:rPr>
        <w:t>日</w:t>
      </w:r>
      <w:r>
        <w:rPr>
          <w:rFonts w:hint="eastAsia" w:ascii="宋体" w:hAnsi="宋体" w:cs="宋体"/>
          <w:sz w:val="22"/>
          <w:szCs w:val="28"/>
          <w:lang w:eastAsia="zh-CN"/>
        </w:rPr>
        <w:t>至</w:t>
      </w:r>
      <w:r>
        <w:rPr>
          <w:rFonts w:hint="eastAsia" w:ascii="宋体" w:hAnsi="宋体" w:cs="宋体"/>
          <w:sz w:val="22"/>
          <w:szCs w:val="28"/>
          <w:lang w:val="en-US" w:eastAsia="zh-CN"/>
        </w:rPr>
        <w:t>2月22日</w:t>
      </w:r>
      <w:r>
        <w:rPr>
          <w:rFonts w:hint="eastAsia" w:ascii="宋体" w:hAnsi="宋体" w:eastAsia="宋体" w:cs="宋体"/>
          <w:sz w:val="22"/>
          <w:szCs w:val="28"/>
        </w:rPr>
        <w:t>10:00</w:t>
      </w:r>
      <w:r>
        <w:rPr>
          <w:rFonts w:hint="eastAsia" w:ascii="宋体" w:hAnsi="宋体" w:cs="宋体"/>
          <w:sz w:val="22"/>
          <w:szCs w:val="28"/>
          <w:lang w:val="en-US" w:eastAsia="zh-CN"/>
        </w:rPr>
        <w:t>-</w:t>
      </w:r>
      <w:r>
        <w:rPr>
          <w:rFonts w:hint="eastAsia" w:ascii="宋体" w:hAnsi="宋体" w:eastAsia="宋体" w:cs="宋体"/>
          <w:sz w:val="22"/>
          <w:szCs w:val="28"/>
        </w:rPr>
        <w:t>1</w:t>
      </w:r>
      <w:r>
        <w:rPr>
          <w:rFonts w:hint="eastAsia" w:ascii="宋体" w:hAnsi="宋体" w:cs="宋体"/>
          <w:sz w:val="22"/>
          <w:szCs w:val="28"/>
          <w:lang w:val="en-US" w:eastAsia="zh-CN"/>
        </w:rPr>
        <w:t>3</w:t>
      </w:r>
      <w:r>
        <w:rPr>
          <w:rFonts w:hint="eastAsia" w:ascii="宋体" w:hAnsi="宋体" w:eastAsia="宋体" w:cs="宋体"/>
          <w:sz w:val="22"/>
          <w:szCs w:val="28"/>
        </w:rPr>
        <w:t>:00，看货地点：湛江钢铁厂内。</w:t>
      </w:r>
      <w:r>
        <w:rPr>
          <w:rFonts w:hint="eastAsia" w:ascii="宋体" w:hAnsi="宋体" w:eastAsia="宋体" w:cs="宋体"/>
          <w:sz w:val="22"/>
          <w:szCs w:val="28"/>
        </w:rPr>
        <w:tab/>
      </w:r>
    </w:p>
    <w:p>
      <w:pPr>
        <w:pBdr>
          <w:bottom w:val="double" w:color="auto" w:sz="4" w:space="0"/>
        </w:pBdr>
        <w:jc w:val="both"/>
        <w:rPr>
          <w:rFonts w:hint="eastAsia" w:ascii="宋体" w:hAnsi="宋体" w:eastAsia="宋体" w:cs="宋体"/>
          <w:sz w:val="22"/>
          <w:szCs w:val="28"/>
        </w:rPr>
      </w:pPr>
      <w:r>
        <w:rPr>
          <w:rFonts w:hint="eastAsia" w:ascii="宋体" w:hAnsi="宋体" w:eastAsia="宋体" w:cs="宋体"/>
          <w:sz w:val="22"/>
          <w:szCs w:val="28"/>
        </w:rPr>
        <w:t>9、合同有效期至2024年12月31日。</w:t>
      </w:r>
      <w:r>
        <w:rPr>
          <w:rFonts w:hint="eastAsia" w:ascii="宋体" w:hAnsi="宋体" w:eastAsia="宋体" w:cs="宋体"/>
          <w:sz w:val="22"/>
          <w:szCs w:val="28"/>
        </w:rPr>
        <w:tab/>
      </w:r>
      <w:r>
        <w:rPr>
          <w:rFonts w:hint="eastAsia" w:ascii="宋体" w:hAnsi="宋体" w:eastAsia="宋体" w:cs="宋体"/>
          <w:sz w:val="22"/>
          <w:szCs w:val="28"/>
        </w:rPr>
        <w:tab/>
      </w:r>
    </w:p>
    <w:p>
      <w:pPr>
        <w:pBdr>
          <w:bottom w:val="double" w:color="auto" w:sz="4" w:space="0"/>
        </w:pBdr>
        <w:jc w:val="both"/>
        <w:rPr>
          <w:rFonts w:hint="eastAsia" w:ascii="宋体" w:hAnsi="宋体" w:eastAsia="宋体" w:cs="宋体"/>
          <w:sz w:val="22"/>
          <w:szCs w:val="28"/>
        </w:rPr>
      </w:pPr>
      <w:r>
        <w:rPr>
          <w:rFonts w:hint="eastAsia" w:ascii="宋体" w:hAnsi="宋体" w:eastAsia="宋体" w:cs="宋体"/>
          <w:sz w:val="22"/>
          <w:szCs w:val="28"/>
        </w:rPr>
        <w:t>10、本次看货物资属于年度合同，现场看货需要签到并提供</w:t>
      </w:r>
      <w:r>
        <w:rPr>
          <w:rFonts w:hint="eastAsia" w:ascii="宋体" w:hAnsi="宋体" w:cs="宋体"/>
          <w:sz w:val="22"/>
          <w:szCs w:val="28"/>
          <w:lang w:eastAsia="zh-CN"/>
        </w:rPr>
        <w:t>：</w:t>
      </w:r>
      <w:r>
        <w:rPr>
          <w:rFonts w:hint="eastAsia" w:ascii="宋体" w:hAnsi="宋体" w:cs="宋体"/>
          <w:sz w:val="22"/>
          <w:szCs w:val="28"/>
          <w:lang w:val="en-US" w:eastAsia="zh-CN"/>
        </w:rPr>
        <w:t>1</w:t>
      </w:r>
      <w:r>
        <w:rPr>
          <w:rFonts w:hint="eastAsia" w:ascii="宋体" w:hAnsi="宋体" w:cs="宋体"/>
          <w:sz w:val="22"/>
          <w:szCs w:val="28"/>
          <w:lang w:eastAsia="zh-CN"/>
        </w:rPr>
        <w:t>）、</w:t>
      </w:r>
      <w:r>
        <w:rPr>
          <w:rFonts w:hint="eastAsia" w:ascii="宋体" w:hAnsi="宋体" w:cs="宋体"/>
          <w:sz w:val="22"/>
          <w:szCs w:val="28"/>
          <w:lang w:val="en-US" w:eastAsia="zh-CN"/>
        </w:rPr>
        <w:t>环评；2）排污；3）竣工验收；4）运输处置方案；5）营业执照、基本户信息、法人身份证；等相关资质资料</w:t>
      </w:r>
      <w:r>
        <w:rPr>
          <w:rFonts w:hint="eastAsia" w:ascii="宋体" w:hAnsi="宋体" w:eastAsia="宋体" w:cs="宋体"/>
          <w:sz w:val="22"/>
          <w:szCs w:val="28"/>
        </w:rPr>
        <w:t>，后续招标则根据符合条件的意向单位进行锁定。</w:t>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r>
        <w:rPr>
          <w:rFonts w:hint="eastAsia" w:ascii="宋体" w:hAnsi="宋体" w:eastAsia="宋体" w:cs="宋体"/>
          <w:sz w:val="22"/>
          <w:szCs w:val="28"/>
        </w:rPr>
        <w:tab/>
      </w:r>
    </w:p>
    <w:p>
      <w:pPr>
        <w:rPr>
          <w:rFonts w:hint="default"/>
          <w:u w:val="single"/>
          <w:lang w:val="en-US" w:eastAsia="zh-CN"/>
        </w:rPr>
      </w:pPr>
    </w:p>
    <w:p>
      <w:pPr>
        <w:rPr>
          <w:rFonts w:hint="default"/>
          <w:u w:val="single"/>
          <w:lang w:val="en-US" w:eastAsia="zh-CN"/>
        </w:rPr>
      </w:pPr>
      <w:r>
        <w:rPr>
          <w:rFonts w:hint="default"/>
          <w:u w:val="single"/>
          <w:lang w:val="en-US" w:eastAsia="zh-CN"/>
        </w:rPr>
        <w:drawing>
          <wp:inline distT="0" distB="0" distL="114300" distR="114300">
            <wp:extent cx="1919605" cy="1440180"/>
            <wp:effectExtent l="0" t="0" r="4445" b="7620"/>
            <wp:docPr id="2" name="图片 2" descr="废编织袋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废编织袋图片"/>
                    <pic:cNvPicPr>
                      <a:picLocks noChangeAspect="1"/>
                    </pic:cNvPicPr>
                  </pic:nvPicPr>
                  <pic:blipFill>
                    <a:blip r:embed="rId4"/>
                    <a:stretch>
                      <a:fillRect/>
                    </a:stretch>
                  </pic:blipFill>
                  <pic:spPr>
                    <a:xfrm>
                      <a:off x="0" y="0"/>
                      <a:ext cx="1919605" cy="1440180"/>
                    </a:xfrm>
                    <a:prstGeom prst="rect">
                      <a:avLst/>
                    </a:prstGeom>
                  </pic:spPr>
                </pic:pic>
              </a:graphicData>
            </a:graphic>
          </wp:inline>
        </w:drawing>
      </w:r>
      <w:r>
        <w:rPr>
          <w:rFonts w:hint="default"/>
          <w:u w:val="single"/>
          <w:lang w:val="en-US" w:eastAsia="zh-CN"/>
        </w:rPr>
        <w:drawing>
          <wp:inline distT="0" distB="0" distL="114300" distR="114300">
            <wp:extent cx="1919605" cy="1440180"/>
            <wp:effectExtent l="0" t="0" r="4445" b="7620"/>
            <wp:docPr id="1" name="图片 1" descr="废编织袋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废编织袋图片1"/>
                    <pic:cNvPicPr>
                      <a:picLocks noChangeAspect="1"/>
                    </pic:cNvPicPr>
                  </pic:nvPicPr>
                  <pic:blipFill>
                    <a:blip r:embed="rId5"/>
                    <a:stretch>
                      <a:fillRect/>
                    </a:stretch>
                  </pic:blipFill>
                  <pic:spPr>
                    <a:xfrm>
                      <a:off x="0" y="0"/>
                      <a:ext cx="1919605" cy="1440180"/>
                    </a:xfrm>
                    <a:prstGeom prst="rect">
                      <a:avLst/>
                    </a:prstGeom>
                  </pic:spPr>
                </pic:pic>
              </a:graphicData>
            </a:graphic>
          </wp:inline>
        </w:drawing>
      </w:r>
    </w:p>
    <w:p>
      <w:pPr>
        <w:rPr>
          <w:rFonts w:hint="default"/>
          <w:u w:val="single"/>
          <w:lang w:val="en-US" w:eastAsia="zh-CN"/>
        </w:rPr>
      </w:pPr>
      <w:r>
        <w:rPr>
          <w:rFonts w:hint="eastAsia"/>
          <w:u w:val="single"/>
          <w:lang w:val="en-US" w:eastAsia="zh-CN"/>
        </w:rPr>
        <w:t>废编织袋（注：以现场看货为准，不提任何质量异议；本标属于年度标，需要具备销售处置条件方可参与）</w:t>
      </w:r>
    </w:p>
    <w:p>
      <w:pPr>
        <w:rPr>
          <w:rFonts w:hint="default"/>
          <w:u w:val="single"/>
          <w:lang w:val="en-US" w:eastAsia="zh-CN"/>
        </w:rPr>
      </w:pPr>
      <w:r>
        <w:rPr>
          <w:rFonts w:hint="default"/>
          <w:u w:val="single"/>
          <w:lang w:val="en-US" w:eastAsia="zh-CN"/>
        </w:rPr>
        <w:drawing>
          <wp:inline distT="0" distB="0" distL="114300" distR="114300">
            <wp:extent cx="3098800" cy="1440180"/>
            <wp:effectExtent l="0" t="0" r="6350" b="7620"/>
            <wp:docPr id="3" name="图片 3" descr="废钢丝胶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废钢丝胶带图片"/>
                    <pic:cNvPicPr>
                      <a:picLocks noChangeAspect="1"/>
                    </pic:cNvPicPr>
                  </pic:nvPicPr>
                  <pic:blipFill>
                    <a:blip r:embed="rId6"/>
                    <a:stretch>
                      <a:fillRect/>
                    </a:stretch>
                  </pic:blipFill>
                  <pic:spPr>
                    <a:xfrm>
                      <a:off x="0" y="0"/>
                      <a:ext cx="3098800" cy="1440180"/>
                    </a:xfrm>
                    <a:prstGeom prst="rect">
                      <a:avLst/>
                    </a:prstGeom>
                  </pic:spPr>
                </pic:pic>
              </a:graphicData>
            </a:graphic>
          </wp:inline>
        </w:drawing>
      </w:r>
    </w:p>
    <w:p>
      <w:pPr>
        <w:rPr>
          <w:rFonts w:hint="default"/>
          <w:u w:val="single"/>
          <w:lang w:val="en-US" w:eastAsia="zh-CN"/>
        </w:rPr>
      </w:pPr>
      <w:r>
        <w:rPr>
          <w:rFonts w:hint="eastAsia"/>
          <w:u w:val="single"/>
          <w:lang w:val="en-US" w:eastAsia="zh-CN"/>
        </w:rPr>
        <w:t>废钢丝胶带（注：以现场看货为准，不提任何质量异议；本标属于年度标，需要具备销售处置条件方可参与）</w:t>
      </w:r>
    </w:p>
    <w:p>
      <w:pPr>
        <w:rPr>
          <w:rFonts w:hint="default"/>
          <w:u w:val="single"/>
          <w:lang w:val="en-US" w:eastAsia="zh-CN"/>
        </w:rPr>
      </w:pPr>
      <w:r>
        <w:rPr>
          <w:rFonts w:hint="default"/>
          <w:u w:val="single"/>
          <w:lang w:val="en-US" w:eastAsia="zh-CN"/>
        </w:rPr>
        <w:drawing>
          <wp:inline distT="0" distB="0" distL="114300" distR="114300">
            <wp:extent cx="3199765" cy="1618615"/>
            <wp:effectExtent l="0" t="0" r="635" b="635"/>
            <wp:docPr id="4" name="图片 4" descr="废轮胎图片（不含轮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废轮胎图片（不含轮毂）"/>
                    <pic:cNvPicPr>
                      <a:picLocks noChangeAspect="1"/>
                    </pic:cNvPicPr>
                  </pic:nvPicPr>
                  <pic:blipFill>
                    <a:blip r:embed="rId7"/>
                    <a:stretch>
                      <a:fillRect/>
                    </a:stretch>
                  </pic:blipFill>
                  <pic:spPr>
                    <a:xfrm>
                      <a:off x="0" y="0"/>
                      <a:ext cx="3199765" cy="1618615"/>
                    </a:xfrm>
                    <a:prstGeom prst="rect">
                      <a:avLst/>
                    </a:prstGeom>
                  </pic:spPr>
                </pic:pic>
              </a:graphicData>
            </a:graphic>
          </wp:inline>
        </w:drawing>
      </w:r>
    </w:p>
    <w:p>
      <w:pPr>
        <w:rPr>
          <w:rFonts w:hint="eastAsia"/>
          <w:u w:val="single"/>
          <w:lang w:val="en-US" w:eastAsia="zh-CN"/>
        </w:rPr>
      </w:pPr>
      <w:r>
        <w:rPr>
          <w:rFonts w:hint="eastAsia"/>
          <w:u w:val="single"/>
          <w:lang w:val="en-US" w:eastAsia="zh-CN"/>
        </w:rPr>
        <w:t>废轮胎（不含轮毂）（注：以现场看货为准，不提任何质量异议；本标属于年度标，需要具备销售处置条件方可参与）</w:t>
      </w:r>
    </w:p>
    <w:p>
      <w:pPr>
        <w:rPr>
          <w:rFonts w:hint="default"/>
          <w:u w:val="single"/>
          <w:lang w:val="en-US" w:eastAsia="zh-CN"/>
        </w:rPr>
      </w:pPr>
    </w:p>
    <w:p>
      <w:pPr>
        <w:rPr>
          <w:rFonts w:hint="default"/>
          <w:u w:val="single"/>
          <w:lang w:val="en-US" w:eastAsia="zh-CN"/>
        </w:rPr>
      </w:pPr>
      <w:r>
        <w:rPr>
          <w:rFonts w:hint="default"/>
          <w:u w:val="single"/>
          <w:lang w:val="en-US" w:eastAsia="zh-CN"/>
        </w:rPr>
        <w:drawing>
          <wp:inline distT="0" distB="0" distL="114300" distR="114300">
            <wp:extent cx="3918585" cy="2019935"/>
            <wp:effectExtent l="0" t="0" r="5715" b="18415"/>
            <wp:docPr id="5" name="图片 5" descr="废尼龙胶带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废尼龙胶带图片"/>
                    <pic:cNvPicPr>
                      <a:picLocks noChangeAspect="1"/>
                    </pic:cNvPicPr>
                  </pic:nvPicPr>
                  <pic:blipFill>
                    <a:blip r:embed="rId8"/>
                    <a:stretch>
                      <a:fillRect/>
                    </a:stretch>
                  </pic:blipFill>
                  <pic:spPr>
                    <a:xfrm>
                      <a:off x="0" y="0"/>
                      <a:ext cx="3918585" cy="2019935"/>
                    </a:xfrm>
                    <a:prstGeom prst="rect">
                      <a:avLst/>
                    </a:prstGeom>
                  </pic:spPr>
                </pic:pic>
              </a:graphicData>
            </a:graphic>
          </wp:inline>
        </w:drawing>
      </w:r>
    </w:p>
    <w:p>
      <w:pPr>
        <w:rPr>
          <w:rFonts w:hint="default"/>
          <w:u w:val="single"/>
          <w:lang w:val="en-US" w:eastAsia="zh-CN"/>
        </w:rPr>
      </w:pPr>
      <w:r>
        <w:rPr>
          <w:rFonts w:hint="eastAsia"/>
          <w:u w:val="single"/>
          <w:lang w:val="en-US" w:eastAsia="zh-CN"/>
        </w:rPr>
        <w:t>废尼龙胶带（注：以现场看货为准，不提任何质量异议；本标属于年度标，需要具备销售处置条件方可参与）</w:t>
      </w:r>
    </w:p>
    <w:p>
      <w:pPr>
        <w:rPr>
          <w:rFonts w:hint="default"/>
          <w:u w:val="single"/>
          <w:lang w:val="en-US" w:eastAsia="zh-CN"/>
        </w:rPr>
      </w:pPr>
      <w:r>
        <w:rPr>
          <w:rFonts w:hint="default"/>
          <w:u w:val="single"/>
          <w:lang w:val="en-US" w:eastAsia="zh-CN"/>
        </w:rPr>
        <w:drawing>
          <wp:inline distT="0" distB="0" distL="114300" distR="114300">
            <wp:extent cx="2696845" cy="2023745"/>
            <wp:effectExtent l="0" t="0" r="8255" b="14605"/>
            <wp:docPr id="7" name="图片 7" descr="废塑料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废塑料图片"/>
                    <pic:cNvPicPr>
                      <a:picLocks noChangeAspect="1"/>
                    </pic:cNvPicPr>
                  </pic:nvPicPr>
                  <pic:blipFill>
                    <a:blip r:embed="rId9"/>
                    <a:stretch>
                      <a:fillRect/>
                    </a:stretch>
                  </pic:blipFill>
                  <pic:spPr>
                    <a:xfrm>
                      <a:off x="0" y="0"/>
                      <a:ext cx="2696845" cy="2023745"/>
                    </a:xfrm>
                    <a:prstGeom prst="rect">
                      <a:avLst/>
                    </a:prstGeom>
                  </pic:spPr>
                </pic:pic>
              </a:graphicData>
            </a:graphic>
          </wp:inline>
        </w:drawing>
      </w:r>
      <w:r>
        <w:rPr>
          <w:rFonts w:hint="default"/>
          <w:u w:val="single"/>
          <w:lang w:val="en-US" w:eastAsia="zh-CN"/>
        </w:rPr>
        <w:drawing>
          <wp:inline distT="0" distB="0" distL="114300" distR="114300">
            <wp:extent cx="2043430" cy="2025650"/>
            <wp:effectExtent l="0" t="0" r="13970" b="12700"/>
            <wp:docPr id="6" name="图片 6" descr="废塑料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废塑料图片1"/>
                    <pic:cNvPicPr>
                      <a:picLocks noChangeAspect="1"/>
                    </pic:cNvPicPr>
                  </pic:nvPicPr>
                  <pic:blipFill>
                    <a:blip r:embed="rId10"/>
                    <a:stretch>
                      <a:fillRect/>
                    </a:stretch>
                  </pic:blipFill>
                  <pic:spPr>
                    <a:xfrm>
                      <a:off x="0" y="0"/>
                      <a:ext cx="2043430" cy="2025650"/>
                    </a:xfrm>
                    <a:prstGeom prst="rect">
                      <a:avLst/>
                    </a:prstGeom>
                  </pic:spPr>
                </pic:pic>
              </a:graphicData>
            </a:graphic>
          </wp:inline>
        </w:drawing>
      </w:r>
    </w:p>
    <w:p>
      <w:pPr>
        <w:rPr>
          <w:rFonts w:hint="default"/>
          <w:u w:val="single"/>
          <w:lang w:val="en-US" w:eastAsia="zh-CN"/>
        </w:rPr>
      </w:pPr>
      <w:r>
        <w:rPr>
          <w:rFonts w:hint="eastAsia"/>
          <w:u w:val="single"/>
          <w:lang w:val="en-US" w:eastAsia="zh-CN"/>
        </w:rPr>
        <w:t>废塑料（注：以现场看货为准，不提任何质量异议；本标属于年度标，需要具备销售处置条件方可参与）</w:t>
      </w:r>
    </w:p>
    <w:p>
      <w:pPr>
        <w:rPr>
          <w:rFonts w:hint="default"/>
          <w:u w:val="single"/>
          <w:lang w:val="en-US" w:eastAsia="zh-CN"/>
        </w:rPr>
      </w:pPr>
      <w:r>
        <w:rPr>
          <w:rFonts w:hint="default"/>
          <w:u w:val="single"/>
          <w:lang w:val="en-US" w:eastAsia="zh-CN"/>
        </w:rPr>
        <w:drawing>
          <wp:inline distT="0" distB="0" distL="114300" distR="114300">
            <wp:extent cx="3473450" cy="2520315"/>
            <wp:effectExtent l="0" t="0" r="12700" b="13335"/>
            <wp:docPr id="8" name="图片 8" descr="废橡胶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废橡胶图片"/>
                    <pic:cNvPicPr>
                      <a:picLocks noChangeAspect="1"/>
                    </pic:cNvPicPr>
                  </pic:nvPicPr>
                  <pic:blipFill>
                    <a:blip r:embed="rId11"/>
                    <a:stretch>
                      <a:fillRect/>
                    </a:stretch>
                  </pic:blipFill>
                  <pic:spPr>
                    <a:xfrm>
                      <a:off x="0" y="0"/>
                      <a:ext cx="3473450" cy="2520315"/>
                    </a:xfrm>
                    <a:prstGeom prst="rect">
                      <a:avLst/>
                    </a:prstGeom>
                  </pic:spPr>
                </pic:pic>
              </a:graphicData>
            </a:graphic>
          </wp:inline>
        </w:drawing>
      </w:r>
    </w:p>
    <w:p>
      <w:pPr>
        <w:rPr>
          <w:rFonts w:hint="default"/>
          <w:u w:val="single"/>
          <w:lang w:val="en-US" w:eastAsia="zh-CN"/>
        </w:rPr>
      </w:pPr>
      <w:r>
        <w:rPr>
          <w:rFonts w:hint="eastAsia"/>
          <w:u w:val="single"/>
          <w:lang w:val="en-US" w:eastAsia="zh-CN"/>
        </w:rPr>
        <w:t>废橡胶（注：以现场看货为准，不提任何质量异议；本标属于年度标，需要具备销售处置条件方可参与）</w:t>
      </w:r>
    </w:p>
    <w:p>
      <w:pPr>
        <w:rPr>
          <w:rFonts w:hint="default"/>
          <w:u w:val="single"/>
          <w:lang w:val="en-US" w:eastAsia="zh-CN"/>
        </w:rPr>
      </w:pPr>
      <w:r>
        <w:rPr>
          <w:rFonts w:hint="default"/>
          <w:u w:val="single"/>
          <w:lang w:val="en-US" w:eastAsia="zh-CN"/>
        </w:rPr>
        <w:drawing>
          <wp:inline distT="0" distB="0" distL="114300" distR="114300">
            <wp:extent cx="2399030" cy="1800225"/>
            <wp:effectExtent l="0" t="0" r="1270" b="9525"/>
            <wp:docPr id="10" name="图片 10" descr="废杂木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废杂木图片"/>
                    <pic:cNvPicPr>
                      <a:picLocks noChangeAspect="1"/>
                    </pic:cNvPicPr>
                  </pic:nvPicPr>
                  <pic:blipFill>
                    <a:blip r:embed="rId12"/>
                    <a:stretch>
                      <a:fillRect/>
                    </a:stretch>
                  </pic:blipFill>
                  <pic:spPr>
                    <a:xfrm>
                      <a:off x="0" y="0"/>
                      <a:ext cx="2399030" cy="1800225"/>
                    </a:xfrm>
                    <a:prstGeom prst="rect">
                      <a:avLst/>
                    </a:prstGeom>
                  </pic:spPr>
                </pic:pic>
              </a:graphicData>
            </a:graphic>
          </wp:inline>
        </w:drawing>
      </w:r>
      <w:r>
        <w:rPr>
          <w:rFonts w:hint="default"/>
          <w:u w:val="single"/>
          <w:lang w:val="en-US" w:eastAsia="zh-CN"/>
        </w:rPr>
        <w:drawing>
          <wp:inline distT="0" distB="0" distL="114300" distR="114300">
            <wp:extent cx="2399030" cy="1800225"/>
            <wp:effectExtent l="0" t="0" r="1270" b="9525"/>
            <wp:docPr id="9" name="图片 9" descr="废杂木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废杂木图片1"/>
                    <pic:cNvPicPr>
                      <a:picLocks noChangeAspect="1"/>
                    </pic:cNvPicPr>
                  </pic:nvPicPr>
                  <pic:blipFill>
                    <a:blip r:embed="rId13"/>
                    <a:stretch>
                      <a:fillRect/>
                    </a:stretch>
                  </pic:blipFill>
                  <pic:spPr>
                    <a:xfrm>
                      <a:off x="0" y="0"/>
                      <a:ext cx="2399030" cy="1800225"/>
                    </a:xfrm>
                    <a:prstGeom prst="rect">
                      <a:avLst/>
                    </a:prstGeom>
                  </pic:spPr>
                </pic:pic>
              </a:graphicData>
            </a:graphic>
          </wp:inline>
        </w:drawing>
      </w:r>
    </w:p>
    <w:p>
      <w:pPr>
        <w:rPr>
          <w:rFonts w:hint="default"/>
          <w:u w:val="single"/>
          <w:lang w:val="en-US" w:eastAsia="zh-CN"/>
        </w:rPr>
      </w:pPr>
      <w:r>
        <w:rPr>
          <w:rFonts w:hint="eastAsia"/>
          <w:u w:val="single"/>
          <w:lang w:val="en-US" w:eastAsia="zh-CN"/>
        </w:rPr>
        <w:t>废杂木（注：以现场看货为准，不提任何质量异议；本标属于年度标，需要具备销售处置条件方可参与）</w:t>
      </w:r>
    </w:p>
    <w:p>
      <w:pPr>
        <w:rPr>
          <w:rFonts w:hint="default"/>
          <w:u w:val="singl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ODI3NjQ0MDg2NGNhYjE3NjBhODI1Yjg1NjRkYmYifQ=="/>
  </w:docVars>
  <w:rsids>
    <w:rsidRoot w:val="388E0F63"/>
    <w:rsid w:val="0456395F"/>
    <w:rsid w:val="048352EA"/>
    <w:rsid w:val="0D595F14"/>
    <w:rsid w:val="12865B72"/>
    <w:rsid w:val="12C30815"/>
    <w:rsid w:val="251627F6"/>
    <w:rsid w:val="26E07D91"/>
    <w:rsid w:val="2EBC28AC"/>
    <w:rsid w:val="32B938E1"/>
    <w:rsid w:val="388E0F63"/>
    <w:rsid w:val="479515F5"/>
    <w:rsid w:val="4FD07D0D"/>
    <w:rsid w:val="50026893"/>
    <w:rsid w:val="60A738D8"/>
    <w:rsid w:val="744E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2019-07-26T06:26:00Z</dcterms:created>
  <dc:creator>Lenovo</dc:creator>
  <cp:lastModifiedBy>木杉</cp:lastModifiedBy>
  <dcterms:modified xsi:type="dcterms:W3CDTF">2024-02-18T07:06:53Z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3B462FE28C0A4234A9A69FBDF65861A6</vt:lpwstr>
  </property>
</Properties>
</file>